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color w:val="8A94A6"/>
          <w:sz w:val="24"/>
          <w:szCs w:val="24"/>
        </w:rPr>
        <w:t xml:space="preserve">Rapport par catégorie de risque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Les champs à remplacer sont écrits entre doubles accolades et sont remplacés à la génération (voir le catalogue des mots-clés). Les balises de boucle et de bloc apparaissent en bleu ; les valeurs texte, en police à chasse fixe.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Directive de configuration (non affichée dans le rapport)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Synthèse générale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title="Vue d'ensemble"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source="risks" columns="id,label,category,criticality_initial,criticality_residual" }}</w:t>
      </w:r>
    </w:p>
    <w:p>
      <w:pPr>
        <w:pStyle w:val="Heading1"/>
      </w:pPr>
      <w:r>
        <w:t xml:space="preserve">Analyse par catégorie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Un chapitre par catégorie : à l'intérieur du group_by, matrice et tableau sont automatiquement filtrés sur la catégorie courante (portée implicite du groupe).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group_by="category"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group.label }}</w:t>
      </w:r>
      <w:r>
        <w:t xml:space="preserve"> (</w:t>
      </w:r>
      <w:r>
        <w:rPr>
          <w:rFonts w:ascii="Consolas" w:cs="Consolas" w:eastAsia="Consolas" w:hAnsi="Consolas"/>
        </w:rPr>
        <w:t xml:space="preserve">{{ group.count }}</w:t>
      </w:r>
      <w:r>
        <w:t xml:space="preserve"> risques)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source="risks" columns="id,label,criticality_initial,criticality_residual,evolution" }}</w:t>
      </w:r>
    </w:p>
    <w:p>
      <w:r>
        <w:t xml:space="preserve">Mesures associées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220" w:before="120"/>
    </w:pPr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6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2026-08-15T13:51:52.552Z</dcterms:created>
  <dcterms:modified xsi:type="dcterms:W3CDTF">2026-08-15T13:51:52.552Z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