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onsolas" w:cs="Consolas" w:eastAsia="Consolas" w:hAnsi="Consolas"/>
        </w:rPr>
        <w:t xml:space="preserve">{{ analysis.title }}</w:t>
      </w:r>
    </w:p>
    <w:p>
      <w:r>
        <w:rPr>
          <w:color w:val="8A94A6"/>
          <w:sz w:val="24"/>
          <w:szCs w:val="24"/>
        </w:rPr>
        <w:t xml:space="preserve">Référentiels de l'analyse</w:t>
      </w:r>
    </w:p>
    <w:p>
      <w:r>
        <w:rPr>
          <w:rFonts w:ascii="Consolas" w:cs="Consolas" w:eastAsia="Consolas" w:hAnsi="Consolas"/>
        </w:rPr>
        <w:t xml:space="preserve">{{ analysis.organization }}</w:t>
      </w:r>
      <w:r>
        <w:t xml:space="preserve"> — </w:t>
      </w:r>
      <w:r>
        <w:rPr>
          <w:rFonts w:ascii="Consolas" w:cs="Consolas" w:eastAsia="Consolas" w:hAnsi="Consolas"/>
        </w:rPr>
        <w:t xml:space="preserve">{{ analysis.author }}</w:t>
      </w:r>
    </w:p>
    <w:p>
      <w:r>
        <w:t xml:space="preserve">Périmètre : </w:t>
      </w:r>
      <w:r>
        <w:rPr>
          <w:rFonts w:ascii="Consolas" w:cs="Consolas" w:eastAsia="Consolas" w:hAnsi="Consolas"/>
        </w:rPr>
        <w:t xml:space="preserve">{{ analysis.scope }}</w:t>
      </w:r>
    </w:p>
    <w:p>
      <w:r>
        <w:t xml:space="preserve">Version </w:t>
      </w:r>
      <w:r>
        <w:rPr>
          <w:rFonts w:ascii="Consolas" w:cs="Consolas" w:eastAsia="Consolas" w:hAnsi="Consolas"/>
        </w:rPr>
        <w:t xml:space="preserve">{{ analysis.revision }}</w:t>
      </w:r>
      <w:r>
        <w:t xml:space="preserve"> · </w:t>
      </w:r>
      <w:r>
        <w:rPr>
          <w:rFonts w:ascii="Consolas" w:cs="Consolas" w:eastAsia="Consolas" w:hAnsi="Consolas"/>
        </w:rPr>
        <w:t xml:space="preserve">{{ analysis.status }}</w:t>
      </w:r>
      <w:r>
        <w:t xml:space="preserve"> · </w:t>
      </w:r>
      <w:r>
        <w:rPr>
          <w:rFonts w:ascii="Consolas" w:cs="Consolas" w:eastAsia="Consolas" w:hAnsi="Consolas"/>
        </w:rPr>
        <w:t xml:space="preserve">{{ analysis.updated | date="long" }}</w:t>
      </w:r>
    </w:p>
    <w:p>
      <w:pPr>
        <w:spacing w:after="60" w:before="60"/>
      </w:pPr>
      <w:r>
        <w:rPr>
          <w:i/>
          <w:iCs/>
          <w:color w:val="8A94A6"/>
          <w:sz w:val="18"/>
          <w:szCs w:val="18"/>
        </w:rPr>
        <w:t xml:space="preserve">Les champs à remplacer sont écrits entre doubles accolades et sont remplacés à la génération (voir le catalogue des mots-clés). Les balises de boucle et de bloc apparaissent en bleu ; les valeurs texte, en police à chasse fixe.</w:t>
      </w:r>
    </w:p>
    <w:p>
      <w:pPr>
        <w:spacing w:after="60" w:before="60"/>
      </w:pPr>
      <w:r>
        <w:rPr>
          <w:i/>
          <w:iCs/>
          <w:color w:val="8A94A6"/>
          <w:sz w:val="18"/>
          <w:szCs w:val="18"/>
        </w:rPr>
        <w:t xml:space="preserve">Directive de configuration (non affichée dans le rapport) :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report date_format="JJ/MM/AAAA" }}</w:t>
      </w:r>
    </w:p>
    <w:p>
      <w:r>
        <w:br w:type="page"/>
      </w:r>
    </w:p>
    <w:p>
      <w:pPr>
        <w:pStyle w:val="Heading1"/>
      </w:pPr>
      <w:r>
        <w:t xml:space="preserve">1. Informations sur l'analyse</w:t>
      </w:r>
    </w:p>
    <w:p>
      <w:pPr>
        <w:spacing w:after="60" w:before="60"/>
      </w:pPr>
      <w:r>
        <w:rPr>
          <w:i/>
          <w:iCs/>
          <w:color w:val="8A94A6"/>
          <w:sz w:val="18"/>
          <w:szCs w:val="18"/>
        </w:rPr>
        <w:t xml:space="preserve">Toutes les métadonnées de l'analyse, y compris la référence méthodologique.</w:t>
      </w:r>
    </w:p>
    <w:p>
      <w:r>
        <w:t xml:space="preserve">Titre : </w:t>
      </w:r>
      <w:r>
        <w:rPr>
          <w:rFonts w:ascii="Consolas" w:cs="Consolas" w:eastAsia="Consolas" w:hAnsi="Consolas"/>
        </w:rPr>
        <w:t xml:space="preserve">{{ analysis.title }}</w:t>
      </w:r>
    </w:p>
    <w:p>
      <w:r>
        <w:t xml:space="preserve">Organisation : </w:t>
      </w:r>
      <w:r>
        <w:rPr>
          <w:rFonts w:ascii="Consolas" w:cs="Consolas" w:eastAsia="Consolas" w:hAnsi="Consolas"/>
        </w:rPr>
        <w:t xml:space="preserve">{{ analysis.organization | default="—" }}</w:t>
      </w:r>
      <w:r>
        <w:t xml:space="preserve"> · Auteur : </w:t>
      </w:r>
      <w:r>
        <w:rPr>
          <w:rFonts w:ascii="Consolas" w:cs="Consolas" w:eastAsia="Consolas" w:hAnsi="Consolas"/>
        </w:rPr>
        <w:t xml:space="preserve">{{ analysis.author | default="—" }}</w:t>
      </w:r>
    </w:p>
    <w:p>
      <w:r>
        <w:t xml:space="preserve">Périmètre : </w:t>
      </w:r>
      <w:r>
        <w:rPr>
          <w:rFonts w:ascii="Consolas" w:cs="Consolas" w:eastAsia="Consolas" w:hAnsi="Consolas"/>
        </w:rPr>
        <w:t xml:space="preserve">{{ analysis.scope | default="—" }}</w:t>
      </w:r>
    </w:p>
    <w:p>
      <w:r>
        <w:t xml:space="preserve">Référence méthodologique : </w:t>
      </w:r>
      <w:r>
        <w:rPr>
          <w:rFonts w:ascii="Consolas" w:cs="Consolas" w:eastAsia="Consolas" w:hAnsi="Consolas"/>
        </w:rPr>
        <w:t xml:space="preserve">{{ analysis.reference | default="—" }}</w:t>
      </w:r>
    </w:p>
    <w:p>
      <w:r>
        <w:t xml:space="preserve">Révision : </w:t>
      </w:r>
      <w:r>
        <w:rPr>
          <w:rFonts w:ascii="Consolas" w:cs="Consolas" w:eastAsia="Consolas" w:hAnsi="Consolas"/>
        </w:rPr>
        <w:t xml:space="preserve">{{ analysis.revision | default="—" }}</w:t>
      </w:r>
      <w:r>
        <w:t xml:space="preserve"> · Statut : </w:t>
      </w:r>
      <w:r>
        <w:rPr>
          <w:rFonts w:ascii="Consolas" w:cs="Consolas" w:eastAsia="Consolas" w:hAnsi="Consolas"/>
        </w:rPr>
        <w:t xml:space="preserve">{{ analysis.status }}</w:t>
      </w:r>
      <w:r>
        <w:t xml:space="preserve"> · Langue : </w:t>
      </w:r>
      <w:r>
        <w:rPr>
          <w:rFonts w:ascii="Consolas" w:cs="Consolas" w:eastAsia="Consolas" w:hAnsi="Consolas"/>
        </w:rPr>
        <w:t xml:space="preserve">{{ analysis.language }}</w:t>
      </w:r>
    </w:p>
    <w:p>
      <w:r>
        <w:t xml:space="preserve">Créée le : </w:t>
      </w:r>
      <w:r>
        <w:rPr>
          <w:rFonts w:ascii="Consolas" w:cs="Consolas" w:eastAsia="Consolas" w:hAnsi="Consolas"/>
        </w:rPr>
        <w:t xml:space="preserve">{{ analysis.created | date="long" }}</w:t>
      </w:r>
      <w:r>
        <w:t xml:space="preserve"> · Mise à jour le : </w:t>
      </w:r>
      <w:r>
        <w:rPr>
          <w:rFonts w:ascii="Consolas" w:cs="Consolas" w:eastAsia="Consolas" w:hAnsi="Consolas"/>
        </w:rPr>
        <w:t xml:space="preserve">{{ analysis.updated | date="long" }}</w:t>
      </w:r>
    </w:p>
    <w:p>
      <w:r>
        <w:t xml:space="preserve">Description :</w:t>
      </w:r>
    </w:p>
    <w:p>
      <w:r>
        <w:rPr>
          <w:rFonts w:ascii="Consolas" w:cs="Consolas" w:eastAsia="Consolas" w:hAnsi="Consolas"/>
        </w:rPr>
        <w:t xml:space="preserve">{{ analysis.description }}</w:t>
      </w:r>
    </w:p>
    <w:p>
      <w:pPr>
        <w:pStyle w:val="Heading1"/>
      </w:pPr>
      <w:r>
        <w:t xml:space="preserve">2. Grille de cotation</w:t>
      </w:r>
    </w:p>
    <w:p>
      <w:r>
        <w:t xml:space="preserve">Méthode de calcul du score : </w:t>
      </w:r>
      <w:r>
        <w:rPr>
          <w:rFonts w:ascii="Consolas" w:cs="Consolas" w:eastAsia="Consolas" w:hAnsi="Consolas"/>
        </w:rPr>
        <w:t xml:space="preserve">{{ grid.method }}</w:t>
      </w:r>
    </w:p>
    <w:p>
      <w:pPr>
        <w:pStyle w:val="Heading2"/>
      </w:pPr>
      <w:r>
        <w:t xml:space="preserve">Échelle de vraisemblance — </w:t>
      </w:r>
      <w:r>
        <w:rPr>
          <w:rFonts w:ascii="Consolas" w:cs="Consolas" w:eastAsia="Consolas" w:hAnsi="Consolas"/>
        </w:rPr>
        <w:t xml:space="preserve">{{ grid.vertical_axis }}</w:t>
      </w:r>
    </w:p>
    <w:p>
      <w:pPr>
        <w:spacing w:after="60" w:before="60"/>
      </w:pPr>
      <w:r>
        <w:rPr>
          <w:i/>
          <w:iCs/>
          <w:color w:val="8A94A6"/>
          <w:sz w:val="18"/>
          <w:szCs w:val="18"/>
        </w:rPr>
        <w:t xml:space="preserve">Table construite dans Word : la ligne de corps est répétée pour chaque niveau de l'échelle (balise d'ouverture au début de la première cellule, fermeture à la fin de la dernière).</w:t>
      </w:r>
    </w:p>
    <w:tbl>
      <w:tblPr>
        <w:tblW w:type="dxa" w:w="10200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1100"/>
        <w:gridCol w:w="3200"/>
        <w:gridCol w:w="5900"/>
      </w:tblGrid>
      <w:tr>
        <w:trPr>
          <w:tblHeader/>
        </w:trPr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Valeur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Niveau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2F5BD0"/>
              </w:rPr>
              <w:t xml:space="preserve">{{#each grid.vertical_axis.levels}}</w:t>
            </w:r>
            <w:r>
              <w:rPr>
                <w:rFonts w:ascii="Consolas" w:cs="Consolas" w:eastAsia="Consolas" w:hAnsi="Consolas"/>
              </w:rPr>
              <w:t xml:space="preserve">{{ step.value 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{{ step.label 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{{ step.description }}</w:t>
            </w:r>
            <w: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2F5BD0"/>
              </w:rPr>
              <w:t xml:space="preserve">{{/each}}</w:t>
            </w:r>
          </w:p>
        </w:tc>
      </w:tr>
    </w:tbl>
    <w:p>
      <w:pPr>
        <w:pStyle w:val="Heading2"/>
      </w:pPr>
      <w:r>
        <w:t xml:space="preserve">Échelle de gravité — </w:t>
      </w:r>
      <w:r>
        <w:rPr>
          <w:rFonts w:ascii="Consolas" w:cs="Consolas" w:eastAsia="Consolas" w:hAnsi="Consolas"/>
        </w:rPr>
        <w:t xml:space="preserve">{{ grid.horizontal_axis }}</w:t>
      </w:r>
    </w:p>
    <w:tbl>
      <w:tblPr>
        <w:tblW w:type="dxa" w:w="10200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1100"/>
        <w:gridCol w:w="3200"/>
        <w:gridCol w:w="5900"/>
      </w:tblGrid>
      <w:tr>
        <w:trPr>
          <w:tblHeader/>
        </w:trPr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Valeur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Niveau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2F5BD0"/>
              </w:rPr>
              <w:t xml:space="preserve">{{#each grid.horizontal_axis.levels}}</w:t>
            </w:r>
            <w:r>
              <w:rPr>
                <w:rFonts w:ascii="Consolas" w:cs="Consolas" w:eastAsia="Consolas" w:hAnsi="Consolas"/>
              </w:rPr>
              <w:t xml:space="preserve">{{ step.value 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{{ step.label 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{{ step.description }}</w:t>
            </w:r>
            <w: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2F5BD0"/>
              </w:rPr>
              <w:t xml:space="preserve">{{/each}}</w:t>
            </w:r>
          </w:p>
        </w:tc>
      </w:tr>
    </w:tbl>
    <w:p>
      <w:pPr>
        <w:pStyle w:val="Heading2"/>
      </w:pPr>
      <w:r>
        <w:t xml:space="preserve">Niveaux de criticité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table source="levels" }}</w:t>
      </w:r>
    </w:p>
    <w:p>
      <w:pPr>
        <w:pStyle w:val="Heading1"/>
      </w:pPr>
      <w:r>
        <w:t xml:space="preserve">3. Champs personnalisés — tableaux récapitulatifs</w:t>
      </w:r>
    </w:p>
    <w:p>
      <w:pPr>
        <w:spacing w:after="60" w:before="60"/>
      </w:pPr>
      <w:r>
        <w:rPr>
          <w:i/>
          <w:iCs/>
          <w:color w:val="8A94A6"/>
          <w:sz w:val="18"/>
          <w:szCs w:val="18"/>
        </w:rPr>
        <w:t xml:space="preserve">Bloc clé en main : colonnes code, libellé, cible, type, obligatoire, filtrable. Sans attribut, tous les champs ; avec l'attribut target, une seule cible (analysis / risk / measure / link / cotation).</w:t>
      </w:r>
    </w:p>
    <w:p>
      <w:pPr>
        <w:pStyle w:val="Heading2"/>
      </w:pPr>
      <w:r>
        <w:t xml:space="preserve">Tous les champs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table source="custom_fields" }}</w:t>
      </w:r>
    </w:p>
    <w:p>
      <w:pPr>
        <w:pStyle w:val="Heading2"/>
      </w:pPr>
      <w:r>
        <w:t xml:space="preserve">Champs de l'analyse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table source="custom_fields" target="analysis" }}</w:t>
      </w:r>
    </w:p>
    <w:p>
      <w:pPr>
        <w:pStyle w:val="Heading2"/>
      </w:pPr>
      <w:r>
        <w:t xml:space="preserve">Champs des risques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table source="custom_fields" target="risk" }}</w:t>
      </w:r>
    </w:p>
    <w:p>
      <w:pPr>
        <w:pStyle w:val="Heading2"/>
      </w:pPr>
      <w:r>
        <w:t xml:space="preserve">Champs des mesures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table source="custom_fields" target="measure" }}</w:t>
      </w:r>
    </w:p>
    <w:p>
      <w:pPr>
        <w:pStyle w:val="Heading2"/>
      </w:pPr>
      <w:r>
        <w:t xml:space="preserve">Champs des liens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table source="custom_fields" target="link" }}</w:t>
      </w:r>
    </w:p>
    <w:p>
      <w:pPr>
        <w:spacing w:after="60" w:before="60"/>
      </w:pPr>
      <w:r>
        <w:rPr>
          <w:i/>
          <w:iCs/>
          <w:color w:val="8A94A6"/>
          <w:sz w:val="18"/>
          <w:szCs w:val="18"/>
        </w:rPr>
        <w:t xml:space="preserve">La cible « cotation » (champs propres aux cotations de risque) s'utilise de la même façon.</w:t>
      </w:r>
    </w:p>
    <w:p>
      <w:pPr>
        <w:pStyle w:val="Heading1"/>
      </w:pPr>
      <w:r>
        <w:t xml:space="preserve">4. Détail des champs et de leurs valeurs</w:t>
      </w:r>
    </w:p>
    <w:p>
      <w:pPr>
        <w:spacing w:after="60" w:before="60"/>
      </w:pPr>
      <w:r>
        <w:rPr>
          <w:i/>
          <w:iCs/>
          <w:color w:val="8A94A6"/>
          <w:sz w:val="18"/>
          <w:szCs w:val="18"/>
        </w:rPr>
        <w:t xml:space="preserve">Boucle sur les champs, triée par cible puis par code (tri multi-clés « target,code »). Pour les champs à valeurs fermées (sélection, cases, étiquettes), sous-boucle sur les valeurs possibles : code, libellé, couleur et description.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{{#each custom_fields sort="target,code" }}</w:t>
      </w:r>
    </w:p>
    <w:p>
      <w:pPr>
        <w:pStyle w:val="Heading2"/>
      </w:pPr>
      <w:r>
        <w:rPr>
          <w:rFonts w:ascii="Consolas" w:cs="Consolas" w:eastAsia="Consolas" w:hAnsi="Consolas"/>
        </w:rPr>
        <w:t xml:space="preserve">{{ field.label }}</w:t>
      </w:r>
      <w:r>
        <w:t xml:space="preserve"> — </w:t>
      </w:r>
      <w:r>
        <w:rPr>
          <w:rFonts w:ascii="Consolas" w:cs="Consolas" w:eastAsia="Consolas" w:hAnsi="Consolas"/>
        </w:rPr>
        <w:t xml:space="preserve">{{ field.code }}</w:t>
      </w:r>
    </w:p>
    <w:p>
      <w:r>
        <w:t xml:space="preserve">Cible : </w:t>
      </w:r>
      <w:r>
        <w:rPr>
          <w:rFonts w:ascii="Consolas" w:cs="Consolas" w:eastAsia="Consolas" w:hAnsi="Consolas"/>
        </w:rPr>
        <w:t xml:space="preserve">{{ field.target }}</w:t>
      </w:r>
      <w:r>
        <w:t xml:space="preserve"> · Type : </w:t>
      </w:r>
      <w:r>
        <w:rPr>
          <w:rFonts w:ascii="Consolas" w:cs="Consolas" w:eastAsia="Consolas" w:hAnsi="Consolas"/>
        </w:rPr>
        <w:t xml:space="preserve">{{ field.type }}</w:t>
      </w:r>
      <w:r>
        <w:t xml:space="preserve"> · Obligatoire : </w:t>
      </w:r>
      <w:r>
        <w:rPr>
          <w:rFonts w:ascii="Consolas" w:cs="Consolas" w:eastAsia="Consolas" w:hAnsi="Consolas"/>
        </w:rPr>
        <w:t xml:space="preserve">{{ field.required }}</w:t>
      </w:r>
      <w:r>
        <w:t xml:space="preserve"> · Filtre : </w:t>
      </w:r>
      <w:r>
        <w:rPr>
          <w:rFonts w:ascii="Consolas" w:cs="Consolas" w:eastAsia="Consolas" w:hAnsi="Consolas"/>
        </w:rPr>
        <w:t xml:space="preserve">{{ field.filterable }}</w:t>
      </w:r>
    </w:p>
    <w:p>
      <w:r>
        <w:t xml:space="preserve">Aide : </w:t>
      </w:r>
      <w:r>
        <w:rPr>
          <w:rFonts w:ascii="Consolas" w:cs="Consolas" w:eastAsia="Consolas" w:hAnsi="Consolas"/>
        </w:rPr>
        <w:t xml:space="preserve">{{ field.help | default="—" }}</w:t>
      </w:r>
    </w:p>
    <w:p>
      <w:r>
        <w:t xml:space="preserve">Description : </w:t>
      </w:r>
      <w:r>
        <w:rPr>
          <w:rFonts w:ascii="Consolas" w:cs="Consolas" w:eastAsia="Consolas" w:hAnsi="Consolas"/>
        </w:rPr>
        <w:t xml:space="preserve">{{ field.description | default="—" }}</w:t>
      </w:r>
    </w:p>
    <w:p>
      <w:r>
        <w:t xml:space="preserve">Valeurs possibles :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{{#each field.items }}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{{ option.code }}</w:t>
      </w:r>
      <w:r>
        <w:t xml:space="preserve"> — </w:t>
      </w:r>
      <w:r>
        <w:rPr>
          <w:rFonts w:ascii="Consolas" w:cs="Consolas" w:eastAsia="Consolas" w:hAnsi="Consolas"/>
        </w:rPr>
        <w:t xml:space="preserve">{{ option.label }}</w:t>
      </w:r>
      <w:r>
        <w:t xml:space="preserve"> (</w:t>
      </w:r>
      <w:r>
        <w:rPr>
          <w:rFonts w:ascii="Consolas" w:cs="Consolas" w:eastAsia="Consolas" w:hAnsi="Consolas"/>
        </w:rPr>
        <w:t xml:space="preserve">{{ option.color | swatch }}</w:t>
      </w:r>
      <w:r>
        <w:t xml:space="preserve"> </w:t>
      </w:r>
      <w:r>
        <w:rPr>
          <w:rFonts w:ascii="Consolas" w:cs="Consolas" w:eastAsia="Consolas" w:hAnsi="Consolas"/>
        </w:rPr>
        <w:t xml:space="preserve">{{ option.color }}</w:t>
      </w:r>
      <w:r>
        <w:t xml:space="preserve">) : </w:t>
      </w:r>
      <w:r>
        <w:rPr>
          <w:rFonts w:ascii="Consolas" w:cs="Consolas" w:eastAsia="Consolas" w:hAnsi="Consolas"/>
        </w:rPr>
        <w:t xml:space="preserve">{{ option.description | default="—" 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{{/each}}</w:t>
      </w:r>
    </w:p>
    <w:p>
      <w:pPr>
        <w:spacing w:after="60" w:before="60"/>
      </w:pPr>
      <w:r>
        <w:rPr>
          <w:i/>
          <w:iCs/>
          <w:color w:val="8A94A6"/>
          <w:sz w:val="18"/>
          <w:szCs w:val="18"/>
        </w:rPr>
        <w:t xml:space="preserve">Même présentation qu'au rapport (« Référentiels et légendes des champs ») : tableau Valeur / Description, badge coloré pour les tags. Le bloc n'apparaît que pour les champs à valeurs fermées (sélection / cases / étiquettes) dont au moins une valeur porte une description.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field_values 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{{/each}}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>
      <w:pPr>
        <w:widowControl/>
        <w:spacing w:after="140"/>
      </w:pPr>
    </w:pPrDefault>
  </w:docDefaults>
  <w:style w:type="paragraph" w:styleId="Title">
    <w:name w:val="Title"/>
    <w:basedOn w:val="Normal"/>
    <w:next w:val="Normal"/>
    <w:qFormat/>
    <w:pPr>
      <w:keepNext/>
      <w:keepLines/>
      <w:spacing w:after="220" w:before="120"/>
    </w:pPr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4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6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2026-08-15T13:51:52.556Z</dcterms:created>
  <dcterms:modified xsi:type="dcterms:W3CDTF">2026-08-15T13:51:52.556Z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