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Tableau de bord des risques</w:t>
      </w:r>
    </w:p>
    <w:p>
      <w:r>
        <w:rPr>
          <w:rFonts w:ascii="Consolas" w:cs="Consolas" w:eastAsia="Consolas" w:hAnsi="Consolas"/>
        </w:rPr>
        <w:t xml:space="preserve">{{ analysis.title }}</w:t>
      </w:r>
      <w:r>
        <w:t xml:space="preserve"> · </w:t>
      </w:r>
      <w:r>
        <w:rPr>
          <w:rFonts w:ascii="Consolas" w:cs="Consolas" w:eastAsia="Consolas" w:hAnsi="Consolas"/>
        </w:rPr>
        <w:t xml:space="preserve">{{ analysis.organization }}</w:t>
      </w:r>
      <w:r>
        <w:t xml:space="preserve"> · mise à jour </w:t>
      </w:r>
      <w:r>
        <w:rPr>
          <w:rFonts w:ascii="Consolas" w:cs="Consolas" w:eastAsia="Consolas" w:hAnsi="Consolas"/>
        </w:rPr>
        <w:t xml:space="preserve">{{ analysis.updated | date="long" }}</w:t>
      </w:r>
    </w:p>
    <w:p>
      <w:pPr>
        <w:pStyle w:val="Heading1"/>
      </w:pPr>
      <w:r>
        <w:t xml:space="preserve">Chiffres clés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stat type="counters"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{{#if analysis.reduced_count &gt; "0"}}</w:t>
      </w:r>
    </w:p>
    <w:p>
      <w:r>
        <w:rPr>
          <w:rFonts w:ascii="Consolas" w:cs="Consolas" w:eastAsia="Consolas" w:hAnsi="Consolas"/>
        </w:rPr>
        <w:t xml:space="preserve">{{ analysis.reduced_count }}</w:t>
      </w:r>
      <w:r>
        <w:t xml:space="preserve"> risque(s) réduit(s) sur </w:t>
      </w:r>
      <w:r>
        <w:rPr>
          <w:rFonts w:ascii="Consolas" w:cs="Consolas" w:eastAsia="Consolas" w:hAnsi="Consolas"/>
        </w:rPr>
        <w:t xml:space="preserve">{{ analysis.risks_count }}</w:t>
      </w:r>
      <w:r>
        <w:t xml:space="preserve"> — la maîtrise progresse.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{{else}}</w:t>
      </w:r>
    </w:p>
    <w:p>
      <w:r>
        <w:t xml:space="preserve">Aucun risque n'a encore été réduit entre l'initial et le résiduel.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{{/if}}</w:t>
      </w:r>
    </w:p>
    <w:p>
      <w:pPr>
        <w:pStyle w:val="Heading1"/>
      </w:pPr>
      <w:r>
        <w:t xml:space="preserve">Couverture du traitement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stat type="coverage"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{{#unless analysis.links_count &gt; "0"}}</w:t>
      </w:r>
    </w:p>
    <w:p>
      <w:r>
        <w:t xml:space="preserve">⚠ Aucun lien risque↔mesure n'est défini : la couverture ne peut pas être évaluée.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{{/unless}}</w:t>
      </w:r>
    </w:p>
    <w:p>
      <w:pPr>
        <w:pStyle w:val="Heading1"/>
      </w:pPr>
      <w:r>
        <w:t xml:space="preserve">Criticité — initial vs résiduel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stat type="criticality" display="both" shape="donut" }}</w:t>
      </w:r>
    </w:p>
    <w:p>
      <w:pPr>
        <w:pStyle w:val="Heading1"/>
      </w:pPr>
      <w:r>
        <w:t xml:space="preserve">Répartition des risques par catégorie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stat type="category" display="chart" shape="pie" }}</w:t>
      </w:r>
    </w:p>
    <w:p>
      <w:pPr>
        <w:pStyle w:val="Heading1"/>
      </w:pPr>
      <w:r>
        <w:t xml:space="preserve">Avancement des mesures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 stat type="measure_status" display="both" shape="donut" }}</w:t>
      </w:r>
    </w:p>
    <w:p>
      <w:r>
        <w:br w:type="page"/>
      </w:r>
    </w:p>
    <w:p>
      <w:pPr>
        <w:pStyle w:val="Heading1"/>
      </w:pPr>
      <w:r>
        <w:t xml:space="preserve">Suivi des échéances</w:t>
      </w:r>
    </w:p>
    <w:tbl>
      <w:tblPr>
        <w:tblW w:type="dxa" w:w="10200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</w:tblPr>
      <w:tblGrid>
        <w:gridCol w:w="900"/>
        <w:gridCol w:w="3000"/>
        <w:gridCol w:w="1500"/>
        <w:gridCol w:w="1500"/>
        <w:gridCol w:w="1900"/>
        <w:gridCol w:w="1400"/>
      </w:tblGrid>
      <w:tr>
        <w:trPr>
          <w:tblHeader/>
        </w:trPr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Mesure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Statut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Responsable</w:t>
            </w:r>
          </w:p>
        </w:tc>
        <w:tc>
          <w:tcPr>
            <w:tcW w:type="auto" w:w="0"/>
            <w:shd w:fill="EEF2F8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Échéance</w:t>
            </w:r>
          </w:p>
        </w:tc>
      </w:tr>
      <w:tr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{{#each measures sort="due_date"}}</w:t>
            </w:r>
            <w:r>
              <w:rPr>
                <w:rFonts w:ascii="Consolas" w:cs="Consolas" w:eastAsia="Consolas" w:hAnsi="Consolas"/>
              </w:rPr>
              <w:t xml:space="preserve">{{ measure.id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measure.label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measure.type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measure.status | badge }}</w:t>
            </w:r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  {{#if measure.overdue}}En retard{{/if}}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measure.responsible }}</w:t>
            </w:r>
          </w:p>
        </w:tc>
        <w:tc>
          <w:tcPr>
            <w:tcW w:type="auto" w:w="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</w:rPr>
              <w:t xml:space="preserve">{{ measure.due_date | date="JJ/MM/AAAA" }}</w:t>
            </w:r>
            <w: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2F5BD0"/>
              </w:rPr>
              <w:t xml:space="preserve">{{/each}}</w:t>
            </w:r>
          </w:p>
        </w:tc>
      </w:tr>
    </w:tbl>
    <w:p>
      <w:pPr>
        <w:pStyle w:val="Heading1"/>
      </w:pPr>
      <w:r>
        <w:t xml:space="preserve">Mesures en retard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measures filter="overdue='true'" sort="due_date"}}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color w:val="C0392B"/>
        </w:rPr>
        <w:t xml:space="preserve">⚠ </w:t>
      </w:r>
      <w:r>
        <w:rPr>
          <w:rFonts w:ascii="Consolas" w:cs="Consolas" w:eastAsia="Consolas" w:hAnsi="Consolas"/>
        </w:rPr>
        <w:t xml:space="preserve">{{ measure.id }}</w:t>
      </w:r>
      <w:r>
        <w:t xml:space="preserve"> — </w:t>
      </w:r>
      <w:r>
        <w:rPr>
          <w:rFonts w:ascii="Consolas" w:cs="Consolas" w:eastAsia="Consolas" w:hAnsi="Consolas"/>
        </w:rPr>
        <w:t xml:space="preserve">{{ measure.label }}</w:t>
      </w:r>
      <w:r>
        <w:t xml:space="preserve"> · échéance </w:t>
      </w:r>
      <w:r>
        <w:rPr>
          <w:rFonts w:ascii="Consolas" w:cs="Consolas" w:eastAsia="Consolas" w:hAnsi="Consolas"/>
        </w:rPr>
        <w:t xml:space="preserve">{{ measure.due_date | date="JJ/MM/AAAA" }}</w:t>
      </w:r>
      <w:r>
        <w:t xml:space="preserve"> · </w:t>
      </w:r>
      <w:r>
        <w:rPr>
          <w:rFonts w:ascii="Consolas" w:cs="Consolas" w:eastAsia="Consolas" w:hAnsi="Consolas"/>
        </w:rPr>
        <w:t xml:space="preserve">{{ measure.responsible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{{else}}</w:t>
      </w:r>
    </w:p>
    <w:p>
      <w:r>
        <w:t xml:space="preserve">Aucune mesure en retard.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p>
      <w:pPr>
        <w:pStyle w:val="Heading1"/>
      </w:pPr>
      <w:r>
        <w:t xml:space="preserve">Points de vigilance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risks filter="criticality_residual='important' or criticality_residual='maximal'" sort="criticality_residual:desc"}}</w:t>
      </w:r>
    </w:p>
    <w:p>
      <w:pPr>
        <w:pStyle w:val="ListParagraph"/>
        <w:numPr>
          <w:ilvl w:val="0"/>
          <w:numId w:val="1"/>
        </w:numPr>
      </w:pPr>
      <w:r>
        <w:rPr>
          <w:rFonts w:ascii="Consolas" w:cs="Consolas" w:eastAsia="Consolas" w:hAnsi="Consolas"/>
        </w:rPr>
        <w:t xml:space="preserve">{{ risk.id }}</w:t>
      </w:r>
      <w:r>
        <w:t xml:space="preserve"> — </w:t>
      </w:r>
      <w:r>
        <w:rPr>
          <w:rFonts w:ascii="Consolas" w:cs="Consolas" w:eastAsia="Consolas" w:hAnsi="Consolas"/>
        </w:rPr>
        <w:t xml:space="preserve">{{ risk.label }}</w:t>
      </w:r>
      <w:r>
        <w:t xml:space="preserve">  </w:t>
      </w:r>
      <w:r>
        <w:rPr>
          <w:rFonts w:ascii="Consolas" w:cs="Consolas" w:eastAsia="Consolas" w:hAnsi="Consolas"/>
        </w:rPr>
        <w:t xml:space="preserve">{{ risk.residual.criticality | badge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{{else}}</w:t>
      </w:r>
    </w:p>
    <w:p>
      <w:r>
        <w:t xml:space="preserve">Aucun risque résiduel important ou critique restant.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>
      <w:pPr>
        <w:widowControl/>
        <w:spacing w:after="140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220" w:before="120"/>
    </w:pPr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4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6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2026-08-15T13:51:52.547Z</dcterms:created>
  <dcterms:modified xsi:type="dcterms:W3CDTF">2026-08-15T13:51:52.547Z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