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Arial" w:cs="Arial" w:eastAsia="Arial" w:hAnsi="Arial"/>
          <w:b/>
          <w:bCs/>
          <w:color w:val="0D1B2A"/>
          <w:sz w:val="48"/>
          <w:szCs w:val="48"/>
        </w:rPr>
        <w:t xml:space="preserve">CAREFORWARD GROUP</w:t>
      </w:r>
    </w:p>
    <w:p>
      <w:pPr>
        <w:spacing w:after="20" w:before="0"/>
        <w:jc w:val="center"/>
      </w:pPr>
      <w:r>
        <w:rPr>
          <w:rFonts w:ascii="Arial" w:cs="Arial" w:eastAsia="Arial" w:hAnsi="Arial"/>
          <w:b w:val="false"/>
          <w:bCs w:val="false"/>
          <w:color w:val="5B2D8E"/>
          <w:sz w:val="32"/>
          <w:szCs w:val="32"/>
        </w:rPr>
        <w:t xml:space="preserve">AI Governance Pack</w:t>
      </w:r>
    </w:p>
    <w:p>
      <w:pPr>
        <w:pBdr>
          <w:bottom w:val="single" w:color="5B2D8E" w:sz="4" w:space="1"/>
        </w:pBdr>
        <w:spacing w:after="40" w:before="0"/>
        <w:jc w:val="center"/>
      </w:pPr>
      <w:r>
        <w:rPr>
          <w:rFonts w:ascii="Arial" w:cs="Arial" w:eastAsia="Arial" w:hAnsi="Arial"/>
          <w:color w:val="5B6B8A"/>
          <w:sz w:val="18"/>
          <w:szCs w:val="18"/>
        </w:rPr>
        <w:t xml:space="preserve">Author: Stephanie Onuoha  |  BA and UAT Tester  |  June 2026  |  Version 1.0</w:t>
      </w:r>
    </w:p>
    <w:p>
      <w:pPr>
        <w:spacing w:after="80" w:before="0"/>
        <w:jc w:val="left"/>
      </w:pPr>
      <w:r>
        <w:rPr>
          <w:rFonts w:ascii="Arial" w:cs="Arial" w:eastAsia="Arial" w:hAnsi="Arial"/>
          <w:color w:val="1A1A1A"/>
          <w:sz w:val="20"/>
          <w:szCs w:val="20"/>
        </w:rPr>
        <w:t xml:space="preserve"/>
      </w:r>
    </w:p>
    <w:p>
      <w:pPr>
        <w:spacing w:after="80" w:before="0"/>
        <w:jc w:val="left"/>
      </w:pPr>
      <w:r>
        <w:rPr>
          <w:rFonts w:ascii="Arial" w:cs="Arial" w:eastAsia="Arial" w:hAnsi="Arial"/>
          <w:b/>
          <w:bCs/>
          <w:i w:val="false"/>
          <w:iCs w:val="false"/>
          <w:color w:val="1A1A1A"/>
          <w:sz w:val="20"/>
          <w:szCs w:val="20"/>
        </w:rPr>
        <w:t xml:space="preserve">Contents: </w:t>
      </w:r>
      <w:r>
        <w:rPr>
          <w:rFonts w:ascii="Arial" w:cs="Arial" w:eastAsia="Arial" w:hAnsi="Arial"/>
          <w:b w:val="false"/>
          <w:bCs w:val="false"/>
          <w:i w:val="false"/>
          <w:iCs w:val="false"/>
          <w:color w:val="1A1A1A"/>
          <w:sz w:val="20"/>
          <w:szCs w:val="20"/>
        </w:rPr>
        <w:t>Part 1, AI Acceptable Use Policy  |  Part 2, AI Risk Register  |  Part 3, AI Decision Log Template</w:t>
      </w:r>
    </w:p>
    <w:p>
      <w:pPr>
        <w:spacing w:after="80" w:before="0"/>
        <w:jc w:val="left"/>
      </w:pPr>
      <w:r>
        <w:rPr>
          <w:rFonts w:ascii="Arial" w:cs="Arial" w:eastAsia="Arial" w:hAnsi="Arial"/>
          <w:b/>
          <w:bCs/>
          <w:i w:val="false"/>
          <w:iCs w:val="false"/>
          <w:color w:val="1A1A1A"/>
          <w:sz w:val="20"/>
          <w:szCs w:val="20"/>
        </w:rPr>
        <w:t xml:space="preserve">Purpose: </w:t>
      </w:r>
      <w:r>
        <w:rPr>
          <w:rFonts w:ascii="Arial" w:cs="Arial" w:eastAsia="Arial" w:hAnsi="Arial"/>
          <w:b w:val="false"/>
          <w:bCs w:val="false"/>
          <w:i w:val="false"/>
          <w:iCs w:val="false"/>
          <w:color w:val="1A1A1A"/>
          <w:sz w:val="20"/>
          <w:szCs w:val="20"/>
        </w:rPr>
        <w:t xml:space="preserve">This governance pack defines the rules, risks, and accountability structures for AI tool deployment at CareForward Group. It ensures every AI workflow is safe, compliant, and auditable by CQC inspectors at any time.</w:t>
      </w:r>
    </w:p>
    <w:p>
      <w:pPr>
        <w:spacing w:after="50" w:before="140"/>
      </w:pPr>
      <w:r>
        <w:rPr>
          <w:rFonts w:ascii="Arial" w:cs="Arial" w:eastAsia="Arial" w:hAnsi="Arial"/>
          <w:b/>
          <w:bCs/>
          <w:caps/>
          <w:color w:val="0D1B2A"/>
          <w:sz w:val="26"/>
          <w:szCs w:val="26"/>
        </w:rPr>
        <w:t>Part 1, AI Acceptable Use Policy</w:t>
      </w:r>
    </w:p>
    <w:p>
      <w:pPr>
        <w:pBdr>
          <w:bottom w:val="single" w:color="5B2D8E" w:sz="6" w:space="1"/>
        </w:pBdr>
        <w:spacing w:after="60" w:before="120"/>
      </w:pPr>
    </w:p>
    <w:p>
      <w:pPr>
        <w:spacing w:after="80" w:before="0"/>
        <w:jc w:val="left"/>
      </w:pPr>
      <w:r>
        <w:rPr>
          <w:rFonts w:ascii="Arial" w:cs="Arial" w:eastAsia="Arial" w:hAnsi="Arial"/>
          <w:b/>
          <w:bCs/>
          <w:i w:val="false"/>
          <w:iCs w:val="false"/>
          <w:color w:val="1A1A1A"/>
          <w:sz w:val="20"/>
          <w:szCs w:val="20"/>
        </w:rPr>
        <w:t xml:space="preserve">Document reference: </w:t>
      </w:r>
      <w:r>
        <w:rPr>
          <w:rFonts w:ascii="Arial" w:cs="Arial" w:eastAsia="Arial" w:hAnsi="Arial"/>
          <w:b w:val="false"/>
          <w:bCs w:val="false"/>
          <w:i w:val="false"/>
          <w:iCs w:val="false"/>
          <w:color w:val="1A1A1A"/>
          <w:sz w:val="20"/>
          <w:szCs w:val="20"/>
        </w:rPr>
        <w:t xml:space="preserve">CF-AI-AUP-001  |  Effective: June 2026  |  Review date: June 2027  |  Owner: Home Manager</w:t>
      </w:r>
    </w:p>
    <w:p>
      <w:pPr>
        <w:spacing w:after="100" w:before="0"/>
        <w:jc w:val="left"/>
      </w:pPr>
      <w:r>
        <w:rPr>
          <w:rFonts w:ascii="Arial" w:cs="Arial" w:eastAsia="Arial" w:hAnsi="Arial"/>
          <w:b/>
          <w:bCs/>
          <w:i w:val="false"/>
          <w:iCs w:val="false"/>
          <w:color w:val="5B2D8E"/>
          <w:sz w:val="20"/>
          <w:szCs w:val="20"/>
        </w:rPr>
        <w:t xml:space="preserve">Approved by: </w:t>
      </w:r>
      <w:r>
        <w:rPr>
          <w:rFonts w:ascii="Arial" w:cs="Arial" w:eastAsia="Arial" w:hAnsi="Arial"/>
          <w:b w:val="false"/>
          <w:bCs w:val="false"/>
          <w:i/>
          <w:iCs/>
          <w:color w:val="1A1A1A"/>
          <w:sz w:val="20"/>
          <w:szCs w:val="20"/>
        </w:rPr>
        <w:t xml:space="preserve">[Home Manager Name]  |  Signature: _________________  |  Date: _________</w:t>
      </w:r>
    </w:p>
    <w:p>
      <w:pPr>
        <w:spacing w:after="40" w:before="120"/>
      </w:pPr>
      <w:r>
        <w:rPr>
          <w:rFonts w:ascii="Arial" w:cs="Arial" w:eastAsia="Arial" w:hAnsi="Arial"/>
          <w:b/>
          <w:bCs/>
          <w:color w:val="1A6B47"/>
          <w:sz w:val="22"/>
          <w:szCs w:val="22"/>
        </w:rPr>
        <w:t xml:space="preserve">1. Purpose</w:t>
      </w:r>
    </w:p>
    <w:p>
      <w:pPr>
        <w:spacing w:after="80" w:before="0"/>
        <w:jc w:val="left"/>
      </w:pPr>
      <w:r>
        <w:rPr>
          <w:rFonts w:ascii="Arial" w:cs="Arial" w:eastAsia="Arial" w:hAnsi="Arial"/>
          <w:color w:val="1A1A1A"/>
          <w:sz w:val="20"/>
          <w:szCs w:val="20"/>
        </w:rPr>
        <w:t xml:space="preserve">This policy defines what CareForward Group's AI tools are permitted to do, what they are not permitted to do, and who is responsible for each use. It applies to all support workers, senior staff, and managers who use AI-assisted tools on shift.</w:t>
      </w:r>
    </w:p>
    <w:p>
      <w:pPr>
        <w:spacing w:after="40" w:before="120"/>
      </w:pPr>
      <w:r>
        <w:rPr>
          <w:rFonts w:ascii="Arial" w:cs="Arial" w:eastAsia="Arial" w:hAnsi="Arial"/>
          <w:b/>
          <w:bCs/>
          <w:color w:val="1A6B47"/>
          <w:sz w:val="22"/>
          <w:szCs w:val="22"/>
        </w:rPr>
        <w:t xml:space="preserve">2. What AI is permitted to do</w:t>
      </w:r>
    </w:p>
    <w:p>
      <w:pPr>
        <w:pStyle w:val="ListParagraph"/>
        <w:numPr>
          <w:ilvl w:val="0"/>
          <w:numId w:val="2"/>
        </w:numPr>
        <w:spacing w:after="60" w:before="0"/>
      </w:pPr>
      <w:r>
        <w:rPr>
          <w:rFonts w:ascii="Arial" w:cs="Arial" w:eastAsia="Arial" w:hAnsi="Arial"/>
          <w:sz w:val="20"/>
          <w:szCs w:val="20"/>
        </w:rPr>
        <w:t xml:space="preserve">Transcribe spoken care notes into structured log entries for human review and confirmation</w:t>
      </w:r>
    </w:p>
    <w:p>
      <w:pPr>
        <w:pStyle w:val="ListParagraph"/>
        <w:numPr>
          <w:ilvl w:val="0"/>
          <w:numId w:val="2"/>
        </w:numPr>
        <w:spacing w:after="60" w:before="0"/>
      </w:pPr>
      <w:r>
        <w:rPr>
          <w:rFonts w:ascii="Arial" w:cs="Arial" w:eastAsia="Arial" w:hAnsi="Arial"/>
          <w:sz w:val="20"/>
          <w:szCs w:val="20"/>
        </w:rPr>
        <w:t xml:space="preserve">Generate a structured draft handover summary from completed shift logs for human review and sign-off</w:t>
      </w:r>
    </w:p>
    <w:p>
      <w:pPr>
        <w:pStyle w:val="ListParagraph"/>
        <w:numPr>
          <w:ilvl w:val="0"/>
          <w:numId w:val="2"/>
        </w:numPr>
        <w:spacing w:after="60" w:before="0"/>
      </w:pPr>
      <w:r>
        <w:rPr>
          <w:rFonts w:ascii="Arial" w:cs="Arial" w:eastAsia="Arial" w:hAnsi="Arial"/>
          <w:sz w:val="20"/>
          <w:szCs w:val="20"/>
        </w:rPr>
        <w:t>Flag potential medication administration anomalies for human investigation, alerts are advisory only</w:t>
      </w:r>
    </w:p>
    <w:p>
      <w:pPr>
        <w:pStyle w:val="ListParagraph"/>
        <w:numPr>
          <w:ilvl w:val="0"/>
          <w:numId w:val="2"/>
        </w:numPr>
        <w:spacing w:after="60" w:before="0"/>
      </w:pPr>
      <w:r>
        <w:rPr>
          <w:rFonts w:ascii="Arial" w:cs="Arial" w:eastAsia="Arial" w:hAnsi="Arial"/>
          <w:sz w:val="20"/>
          <w:szCs w:val="20"/>
        </w:rPr>
        <w:t xml:space="preserve">Monitor individual service user baseline patterns and raise early deterioration alerts for senior staff review</w:t>
      </w:r>
    </w:p>
    <w:p>
      <w:pPr>
        <w:pStyle w:val="ListParagraph"/>
        <w:numPr>
          <w:ilvl w:val="0"/>
          <w:numId w:val="2"/>
        </w:numPr>
        <w:spacing w:after="60" w:before="0"/>
      </w:pPr>
      <w:r>
        <w:rPr>
          <w:rFonts w:ascii="Arial" w:cs="Arial" w:eastAsia="Arial" w:hAnsi="Arial"/>
          <w:sz w:val="20"/>
          <w:szCs w:val="20"/>
        </w:rPr>
        <w:t xml:space="preserve">Produce compliance exception reports for daily review by senior staff</w:t>
      </w:r>
    </w:p>
    <w:p>
      <w:pPr>
        <w:spacing w:after="40" w:before="120"/>
      </w:pPr>
      <w:r>
        <w:rPr>
          <w:rFonts w:ascii="Arial" w:cs="Arial" w:eastAsia="Arial" w:hAnsi="Arial"/>
          <w:b/>
          <w:bCs/>
          <w:color w:val="1A6B47"/>
          <w:sz w:val="22"/>
          <w:szCs w:val="22"/>
        </w:rPr>
        <w:t xml:space="preserve">3. What AI is NOT permitted to do</w:t>
      </w:r>
    </w:p>
    <w:p>
      <w:pPr>
        <w:pStyle w:val="ListParagraph"/>
        <w:numPr>
          <w:ilvl w:val="0"/>
          <w:numId w:val="2"/>
        </w:numPr>
        <w:spacing w:after="60" w:before="0"/>
      </w:pPr>
      <w:r>
        <w:rPr>
          <w:rFonts w:ascii="Arial" w:cs="Arial" w:eastAsia="Arial" w:hAnsi="Arial"/>
          <w:sz w:val="20"/>
          <w:szCs w:val="20"/>
        </w:rPr>
        <w:t xml:space="preserve">Make or record any care decision without human review and sign-off</w:t>
      </w:r>
    </w:p>
    <w:p>
      <w:pPr>
        <w:pStyle w:val="ListParagraph"/>
        <w:numPr>
          <w:ilvl w:val="0"/>
          <w:numId w:val="2"/>
        </w:numPr>
        <w:spacing w:after="60" w:before="0"/>
      </w:pPr>
      <w:r>
        <w:rPr>
          <w:rFonts w:ascii="Arial" w:cs="Arial" w:eastAsia="Arial" w:hAnsi="Arial"/>
          <w:sz w:val="20"/>
          <w:szCs w:val="20"/>
        </w:rPr>
        <w:t xml:space="preserve">Access, store, or transmit individual health data outside the care home's local system</w:t>
      </w:r>
    </w:p>
    <w:p>
      <w:pPr>
        <w:pStyle w:val="ListParagraph"/>
        <w:numPr>
          <w:ilvl w:val="0"/>
          <w:numId w:val="2"/>
        </w:numPr>
        <w:spacing w:after="60" w:before="0"/>
      </w:pPr>
      <w:r>
        <w:rPr>
          <w:rFonts w:ascii="Arial" w:cs="Arial" w:eastAsia="Arial" w:hAnsi="Arial"/>
          <w:sz w:val="20"/>
          <w:szCs w:val="20"/>
        </w:rPr>
        <w:t xml:space="preserve">Administer, authorise, or modify any medication plan</w:t>
      </w:r>
    </w:p>
    <w:p>
      <w:pPr>
        <w:pStyle w:val="ListParagraph"/>
        <w:numPr>
          <w:ilvl w:val="0"/>
          <w:numId w:val="2"/>
        </w:numPr>
        <w:spacing w:after="60" w:before="0"/>
      </w:pPr>
      <w:r>
        <w:rPr>
          <w:rFonts w:ascii="Arial" w:cs="Arial" w:eastAsia="Arial" w:hAnsi="Arial"/>
          <w:sz w:val="20"/>
          <w:szCs w:val="20"/>
        </w:rPr>
        <w:t xml:space="preserve">Produce any external communication to families, GPs, or clinical teams without human authorship</w:t>
      </w:r>
    </w:p>
    <w:p>
      <w:pPr>
        <w:pStyle w:val="ListParagraph"/>
        <w:numPr>
          <w:ilvl w:val="0"/>
          <w:numId w:val="2"/>
        </w:numPr>
        <w:spacing w:after="60" w:before="0"/>
      </w:pPr>
      <w:r>
        <w:rPr>
          <w:rFonts w:ascii="Arial" w:cs="Arial" w:eastAsia="Arial" w:hAnsi="Arial"/>
          <w:sz w:val="20"/>
          <w:szCs w:val="20"/>
        </w:rPr>
        <w:t xml:space="preserve">Operate without a named human business owner responsible for its outputs</w:t>
      </w:r>
    </w:p>
    <w:p>
      <w:pPr>
        <w:pStyle w:val="ListParagraph"/>
        <w:numPr>
          <w:ilvl w:val="0"/>
          <w:numId w:val="2"/>
        </w:numPr>
        <w:spacing w:after="60" w:before="0"/>
      </w:pPr>
      <w:r>
        <w:rPr>
          <w:rFonts w:ascii="Arial" w:cs="Arial" w:eastAsia="Arial" w:hAnsi="Arial"/>
          <w:sz w:val="20"/>
          <w:szCs w:val="20"/>
        </w:rPr>
        <w:t xml:space="preserve">Continue operating after a critical incident without a formal review by the Home Manager</w:t>
      </w:r>
    </w:p>
    <w:p>
      <w:pPr>
        <w:spacing w:after="40" w:before="120"/>
      </w:pPr>
      <w:r>
        <w:rPr>
          <w:rFonts w:ascii="Arial" w:cs="Arial" w:eastAsia="Arial" w:hAnsi="Arial"/>
          <w:b/>
          <w:bCs/>
          <w:color w:val="1A6B47"/>
          <w:sz w:val="22"/>
          <w:szCs w:val="22"/>
        </w:rPr>
        <w:t>4. Human accountability, non-negotiable</w:t>
      </w:r>
    </w:p>
    <w:p>
      <w:pPr>
        <w:spacing w:after="80" w:before="0"/>
        <w:jc w:val="left"/>
      </w:pPr>
      <w:r>
        <w:rPr>
          <w:rFonts w:ascii="Arial" w:cs="Arial" w:eastAsia="Arial" w:hAnsi="Arial"/>
          <w:b/>
          <w:bCs/>
          <w:i w:val="false"/>
          <w:iCs w:val="false"/>
          <w:color w:val="1A1A1A"/>
          <w:sz w:val="20"/>
          <w:szCs w:val="20"/>
        </w:rPr>
        <w:t xml:space="preserve">Every AI output must be reviewed and confirmed by a named member of staff before it is saved, acted upon, or shared.</w:t>
      </w:r>
      <w:r>
        <w:rPr>
          <w:rFonts w:ascii="Arial" w:cs="Arial" w:eastAsia="Arial" w:hAnsi="Arial"/>
          <w:b w:val="false"/>
          <w:bCs w:val="false"/>
          <w:i w:val="false"/>
          <w:iCs w:val="false"/>
          <w:color w:val="1A1A1A"/>
          <w:sz w:val="20"/>
          <w:szCs w:val="20"/>
        </w:rPr>
        <w:t xml:space="preserve"> The staff member who confirms an AI-generated entry takes full accountability for its accuracy. This is recorded in the audit trail with their name and timestamp.</w:t>
      </w:r>
    </w:p>
    <w:p>
      <w:pPr>
        <w:spacing w:after="40" w:before="120"/>
      </w:pPr>
      <w:r>
        <w:rPr>
          <w:rFonts w:ascii="Arial" w:cs="Arial" w:eastAsia="Arial" w:hAnsi="Arial"/>
          <w:b/>
          <w:bCs/>
          <w:color w:val="1A6B47"/>
          <w:sz w:val="22"/>
          <w:szCs w:val="22"/>
        </w:rPr>
        <w:t xml:space="preserve">5. Data and privacy</w:t>
      </w:r>
    </w:p>
    <w:p>
      <w:pPr>
        <w:pStyle w:val="ListParagraph"/>
        <w:numPr>
          <w:ilvl w:val="0"/>
          <w:numId w:val="2"/>
        </w:numPr>
        <w:spacing w:after="60" w:before="0"/>
      </w:pPr>
      <w:r>
        <w:rPr>
          <w:rFonts w:ascii="Arial" w:cs="Arial" w:eastAsia="Arial" w:hAnsi="Arial"/>
          <w:sz w:val="20"/>
          <w:szCs w:val="20"/>
        </w:rPr>
        <w:t xml:space="preserve">[object Object][object Object][object Object]</w:t>
      </w:r>
    </w:p>
    <w:p>
      <w:pPr>
        <w:pStyle w:val="ListParagraph"/>
        <w:numPr>
          <w:ilvl w:val="0"/>
          <w:numId w:val="2"/>
        </w:numPr>
        <w:spacing w:after="60" w:before="0"/>
      </w:pPr>
      <w:r>
        <w:rPr>
          <w:rFonts w:ascii="Arial" w:cs="Arial" w:eastAsia="Arial" w:hAnsi="Arial"/>
          <w:sz w:val="20"/>
          <w:szCs w:val="20"/>
        </w:rPr>
        <w:t xml:space="preserve">Audio captured for voice-to-text transcription is processed locally and not stored after transcription is complete</w:t>
      </w:r>
    </w:p>
    <w:p>
      <w:pPr>
        <w:pStyle w:val="ListParagraph"/>
        <w:numPr>
          <w:ilvl w:val="0"/>
          <w:numId w:val="2"/>
        </w:numPr>
        <w:spacing w:after="60" w:before="0"/>
      </w:pPr>
      <w:r>
        <w:rPr>
          <w:rFonts w:ascii="Arial" w:cs="Arial" w:eastAsia="Arial" w:hAnsi="Arial"/>
          <w:sz w:val="20"/>
          <w:szCs w:val="20"/>
        </w:rPr>
        <w:t xml:space="preserve">All data processing complies with UK GDPR and the Data Protection Act 2018</w:t>
      </w:r>
    </w:p>
    <w:p>
      <w:pPr>
        <w:pStyle w:val="ListParagraph"/>
        <w:numPr>
          <w:ilvl w:val="0"/>
          <w:numId w:val="2"/>
        </w:numPr>
        <w:spacing w:after="60" w:before="0"/>
      </w:pPr>
      <w:r>
        <w:rPr>
          <w:rFonts w:ascii="Arial" w:cs="Arial" w:eastAsia="Arial" w:hAnsi="Arial"/>
          <w:sz w:val="20"/>
          <w:szCs w:val="20"/>
        </w:rPr>
        <w:t>Special category health data is handled under Article 9(2)(h), processing for health and social care purposes</w:t>
      </w:r>
    </w:p>
    <w:p>
      <w:pPr>
        <w:spacing w:after="40" w:before="120"/>
      </w:pPr>
      <w:r>
        <w:rPr>
          <w:rFonts w:ascii="Arial" w:cs="Arial" w:eastAsia="Arial" w:hAnsi="Arial"/>
          <w:b/>
          <w:bCs/>
          <w:color w:val="1A6B47"/>
          <w:sz w:val="22"/>
          <w:szCs w:val="22"/>
        </w:rPr>
        <w:t xml:space="preserve">6. Named business owner per AI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AI Workflow</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Named Owner</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Review Cycle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Voice-to-Text Logging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Home 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Monthly</w:t>
            </w:r>
          </w:p>
        </w:tc>
      </w:tr>
      <w:tr>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Medication Error Alerts</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Senior Support Worker</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Monthly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Early Deterioration Alerts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Senior Support Worker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Monthly</w:t>
            </w:r>
          </w:p>
        </w:tc>
      </w:tr>
      <w:tr>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AI Handover Summaries</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Home Manager</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Monthly</w:t>
            </w:r>
          </w:p>
        </w:tc>
      </w:tr>
    </w:tbl>
    <w:p>
      <w:pPr>
        <w:spacing w:after="40" w:before="120"/>
      </w:pPr>
      <w:r>
        <w:rPr>
          <w:rFonts w:ascii="Arial" w:cs="Arial" w:eastAsia="Arial" w:hAnsi="Arial"/>
          <w:b/>
          <w:bCs/>
          <w:color w:val="1A6B47"/>
          <w:sz w:val="22"/>
          <w:szCs w:val="22"/>
        </w:rPr>
        <w:t xml:space="preserve">7. Reporting and escalation</w:t>
      </w:r>
    </w:p>
    <w:p>
      <w:pPr>
        <w:pStyle w:val="ListParagraph"/>
        <w:numPr>
          <w:ilvl w:val="0"/>
          <w:numId w:val="2"/>
        </w:numPr>
        <w:spacing w:after="60" w:before="0"/>
      </w:pPr>
      <w:r>
        <w:rPr>
          <w:rFonts w:ascii="Arial" w:cs="Arial" w:eastAsia="Arial" w:hAnsi="Arial"/>
          <w:sz w:val="20"/>
          <w:szCs w:val="20"/>
        </w:rPr>
        <w:t>Any AI-related incident, missed alert, false positive, staff confusion, data concern, must be reported to the Home Manager within 24 hours</w:t>
      </w:r>
    </w:p>
    <w:p>
      <w:pPr>
        <w:pStyle w:val="ListParagraph"/>
        <w:numPr>
          <w:ilvl w:val="0"/>
          <w:numId w:val="2"/>
        </w:numPr>
        <w:spacing w:after="60" w:before="0"/>
      </w:pPr>
      <w:r>
        <w:rPr>
          <w:rFonts w:ascii="Arial" w:cs="Arial" w:eastAsia="Arial" w:hAnsi="Arial"/>
          <w:sz w:val="20"/>
          <w:szCs w:val="20"/>
        </w:rPr>
        <w:t xml:space="preserve">Incidents are logged in the AI Decision Log and reviewed within 48 hours</w:t>
      </w:r>
    </w:p>
    <w:p>
      <w:pPr>
        <w:pStyle w:val="ListParagraph"/>
        <w:numPr>
          <w:ilvl w:val="0"/>
          <w:numId w:val="2"/>
        </w:numPr>
        <w:spacing w:after="60" w:before="0"/>
      </w:pPr>
      <w:r>
        <w:rPr>
          <w:rFonts w:ascii="Arial" w:cs="Arial" w:eastAsia="Arial" w:hAnsi="Arial"/>
          <w:sz w:val="20"/>
          <w:szCs w:val="20"/>
        </w:rPr>
        <w:t xml:space="preserve">Patterns of incidents trigger a formal review of the relevant AI workflow</w:t>
      </w:r>
    </w:p>
    <w:p>
      <w:pPr>
        <w:pStyle w:val="ListParagraph"/>
        <w:numPr>
          <w:ilvl w:val="0"/>
          <w:numId w:val="2"/>
        </w:numPr>
        <w:spacing w:after="60" w:before="0"/>
      </w:pPr>
      <w:r>
        <w:rPr>
          <w:rFonts w:ascii="Arial" w:cs="Arial" w:eastAsia="Arial" w:hAnsi="Arial"/>
          <w:sz w:val="20"/>
          <w:szCs w:val="20"/>
        </w:rPr>
        <w:t>CQC can request the full audit trail, Decision Log, and this policy at any time, all must be available within 1 working day</w:t>
      </w:r>
    </w:p>
    <w:p>
      <w:pPr>
        <w:spacing w:after="80" w:before="0"/>
        <w:jc w:val="left"/>
      </w:pPr>
      <w:r>
        <w:rPr>
          <w:rFonts w:ascii="Arial" w:cs="Arial" w:eastAsia="Arial" w:hAnsi="Arial"/>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47" w:sz="4"/>
              <w:left w:val="single" w:color="1A6B47" w:sz="12"/>
              <w:bottom w:val="single" w:color="1A6B47" w:sz="4"/>
              <w:right w:val="single" w:color="1A6B47" w:sz="4"/>
            </w:tcBorders>
            <w:shd w:fill="E6F4EC" w:val="clear"/>
            <w:tcMar>
              <w:top w:type="dxa" w:w="140"/>
              <w:left w:type="dxa" w:w="200"/>
              <w:bottom w:type="dxa" w:w="140"/>
              <w:right w:type="dxa" w:w="200"/>
            </w:tcMar>
          </w:tcPr>
          <w:p>
            <w:r>
              <w:rPr>
                <w:rFonts w:ascii="Arial" w:cs="Arial" w:eastAsia="Arial" w:hAnsi="Arial"/>
                <w:color w:val="1A1A1A"/>
                <w:sz w:val="20"/>
                <w:szCs w:val="20"/>
              </w:rPr>
              <w:t xml:space="preserve">This policy must be reviewed annually or whenever a significant change is made to AI tool functionality. All staff must be made aware of any changes before they take effect.</w:t>
            </w:r>
          </w:p>
        </w:tc>
      </w:tr>
    </w:tbl>
    <w:p>
      <w:pPr>
        <w:spacing w:after="50" w:before="140"/>
      </w:pPr>
      <w:r>
        <w:rPr>
          <w:rFonts w:ascii="Arial" w:cs="Arial" w:eastAsia="Arial" w:hAnsi="Arial"/>
          <w:b/>
          <w:bCs/>
          <w:caps/>
          <w:color w:val="0D1B2A"/>
          <w:sz w:val="26"/>
          <w:szCs w:val="26"/>
        </w:rPr>
        <w:t>Part 2, AI Risk Register</w:t>
      </w:r>
    </w:p>
    <w:p>
      <w:pPr>
        <w:pBdr>
          <w:bottom w:val="single" w:color="9A1C1C" w:sz="6" w:space="1"/>
        </w:pBdr>
        <w:spacing w:after="60" w:before="120"/>
      </w:pPr>
    </w:p>
    <w:p>
      <w:pPr>
        <w:spacing w:after="80" w:before="0"/>
        <w:jc w:val="left"/>
      </w:pPr>
      <w:r>
        <w:rPr>
          <w:rFonts w:ascii="Arial" w:cs="Arial" w:eastAsia="Arial" w:hAnsi="Arial"/>
          <w:b/>
          <w:bCs/>
          <w:i w:val="false"/>
          <w:iCs w:val="false"/>
          <w:color w:val="1A1A1A"/>
          <w:sz w:val="20"/>
          <w:szCs w:val="20"/>
        </w:rPr>
        <w:t xml:space="preserve">Document reference: </w:t>
      </w:r>
      <w:r>
        <w:rPr>
          <w:rFonts w:ascii="Arial" w:cs="Arial" w:eastAsia="Arial" w:hAnsi="Arial"/>
          <w:b w:val="false"/>
          <w:bCs w:val="false"/>
          <w:i w:val="false"/>
          <w:iCs w:val="false"/>
          <w:color w:val="1A1A1A"/>
          <w:sz w:val="20"/>
          <w:szCs w:val="20"/>
        </w:rPr>
        <w:t xml:space="preserve">CF-AI-RISK-001  |  June 2026  |  Owner: Home Manager  |  Review: Quarterly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000"/>
        <w:gridCol w:w="2126"/>
        <w:gridCol w:w="800"/>
        <w:gridCol w:w="900"/>
      </w:tblGrid>
      <w:tr>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Risk</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4"/>
                <w:szCs w:val="14"/>
              </w:rPr>
              <w:t xml:space="preserve">Likelihood
(1-5)</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4"/>
                <w:szCs w:val="14"/>
              </w:rPr>
              <w:t xml:space="preserve">Impact
(1-5)</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Mitigation</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Rating</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Owner</w:t>
            </w:r>
          </w:p>
        </w:tc>
      </w:tr>
      <w:tr>
        <w:tc>
          <w:tcPr>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i w:val="false"/>
                <w:iCs w:val="false"/>
                <w:color w:val="9A1C1C"/>
                <w:sz w:val="18"/>
                <w:szCs w:val="18"/>
              </w:rPr>
              <w:t xml:space="preserve">1</w:t>
            </w:r>
          </w:p>
        </w:tc>
        <w:tc>
          <w:tcPr>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AI transcription error recorded in care 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Mandatory human review before every log is saved. Staff sign off each entry. Human version always final.</w:t>
            </w:r>
          </w:p>
        </w:tc>
        <w:tc>
          <w:tcPr>
            <w:tcBorders>
              <w:top w:val="single" w:color="CCCCCC" w:sz="1"/>
              <w:left w:val="single" w:color="CCCCCC" w:sz="1"/>
              <w:bottom w:val="single" w:color="CCCCCC" w:sz="1"/>
              <w:right w:val="single" w:color="CCCCCC" w:sz="1"/>
            </w:tcBorders>
            <w:shd w:fill="FFF5E0" w:val="clear"/>
            <w:tcMar>
              <w:top w:type="dxa" w:w="80"/>
              <w:left w:type="dxa" w:w="120"/>
              <w:bottom w:type="dxa" w:w="80"/>
              <w:right w:type="dxa" w:w="120"/>
            </w:tcMar>
            <w:vAlign w:val="center"/>
          </w:tcPr>
          <w:p>
            <w:pPr>
              <w:jc w:val="center"/>
            </w:pPr>
            <w:r>
              <w:rPr>
                <w:rFonts w:ascii="Arial" w:cs="Arial" w:eastAsia="Arial" w:hAnsi="Arial"/>
                <w:b/>
                <w:bCs/>
                <w:i w:val="false"/>
                <w:iCs w:val="false"/>
                <w:color w:val="8A5A00"/>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Support Worker</w:t>
            </w:r>
          </w:p>
        </w:tc>
      </w:tr>
      <w:tr>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center"/>
            </w:pPr>
            <w:r>
              <w:rPr>
                <w:rFonts w:ascii="Arial" w:cs="Arial" w:eastAsia="Arial" w:hAnsi="Arial"/>
                <w:b/>
                <w:bCs/>
                <w:i w:val="false"/>
                <w:iCs w:val="false"/>
                <w:color w:val="9A1C1C"/>
                <w:sz w:val="18"/>
                <w:szCs w:val="18"/>
              </w:rPr>
              <w:t xml:space="preserve">2</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Medication alert, false positive causes unnecessary concern</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2</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3</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Alert is advisory only. Dual-witness protocol unchanged. Senior staff investigate all alerts before action.</w:t>
            </w:r>
          </w:p>
        </w:tc>
        <w:tc>
          <w:tcPr>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vAlign w:val="center"/>
          </w:tcPr>
          <w:p>
            <w:pPr>
              <w:jc w:val="center"/>
            </w:pPr>
            <w:r>
              <w:rPr>
                <w:rFonts w:ascii="Arial" w:cs="Arial" w:eastAsia="Arial" w:hAnsi="Arial"/>
                <w:b/>
                <w:bCs/>
                <w:i w:val="false"/>
                <w:iCs w:val="false"/>
                <w:color w:val="1A6B47"/>
                <w:sz w:val="18"/>
                <w:szCs w:val="18"/>
              </w:rPr>
              <w:t xml:space="preserve">LOW</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Senior Staff</w:t>
            </w:r>
          </w:p>
        </w:tc>
      </w:tr>
      <w:tr>
        <w:tc>
          <w:tcPr>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i w:val="false"/>
                <w:iCs w:val="false"/>
                <w:color w:val="9A1C1C"/>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Early deterioration alert missed, service user deteriorates without AI flag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AI supplements informal staff observation, does not replace it. Manual escalation protocols unchanged and always primary.</w:t>
            </w:r>
          </w:p>
        </w:tc>
        <w:tc>
          <w:tcPr>
            <w:tcBorders>
              <w:top w:val="single" w:color="CCCCCC" w:sz="1"/>
              <w:left w:val="single" w:color="CCCCCC" w:sz="1"/>
              <w:bottom w:val="single" w:color="CCCCCC" w:sz="1"/>
              <w:right w:val="single" w:color="CCCCCC" w:sz="1"/>
            </w:tcBorders>
            <w:shd w:fill="FFF5E0" w:val="clear"/>
            <w:tcMar>
              <w:top w:type="dxa" w:w="80"/>
              <w:left w:type="dxa" w:w="120"/>
              <w:bottom w:type="dxa" w:w="80"/>
              <w:right w:type="dxa" w:w="120"/>
            </w:tcMar>
            <w:vAlign w:val="center"/>
          </w:tcPr>
          <w:p>
            <w:pPr>
              <w:jc w:val="center"/>
            </w:pPr>
            <w:r>
              <w:rPr>
                <w:rFonts w:ascii="Arial" w:cs="Arial" w:eastAsia="Arial" w:hAnsi="Arial"/>
                <w:b/>
                <w:bCs/>
                <w:i w:val="false"/>
                <w:iCs w:val="false"/>
                <w:color w:val="8A5A00"/>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Senior Staff</w:t>
            </w:r>
          </w:p>
        </w:tc>
      </w:tr>
      <w:tr>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center"/>
            </w:pPr>
            <w:r>
              <w:rPr>
                <w:rFonts w:ascii="Arial" w:cs="Arial" w:eastAsia="Arial" w:hAnsi="Arial"/>
                <w:b/>
                <w:bCs/>
                <w:i w:val="false"/>
                <w:iCs w:val="false"/>
                <w:color w:val="9A1C1C"/>
                <w:sz w:val="18"/>
                <w:szCs w:val="18"/>
              </w:rPr>
              <w:t xml:space="preserve">4</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Staff resistance, refusal to use AI tools</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3</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3</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Early Adopter champions share positive peer experience. Training before deployment. Override rights clearly communicated. No penalty for manual logging.</w:t>
            </w:r>
          </w:p>
        </w:tc>
        <w:tc>
          <w:tcPr>
            <w:tcBorders>
              <w:top w:val="single" w:color="CCCCCC" w:sz="1"/>
              <w:left w:val="single" w:color="CCCCCC" w:sz="1"/>
              <w:bottom w:val="single" w:color="CCCCCC" w:sz="1"/>
              <w:right w:val="single" w:color="CCCCCC" w:sz="1"/>
            </w:tcBorders>
            <w:shd w:fill="FFF5E0" w:val="clear"/>
            <w:tcMar>
              <w:top w:type="dxa" w:w="80"/>
              <w:left w:type="dxa" w:w="120"/>
              <w:bottom w:type="dxa" w:w="80"/>
              <w:right w:type="dxa" w:w="120"/>
            </w:tcMar>
            <w:vAlign w:val="center"/>
          </w:tcPr>
          <w:p>
            <w:pPr>
              <w:jc w:val="center"/>
            </w:pPr>
            <w:r>
              <w:rPr>
                <w:rFonts w:ascii="Arial" w:cs="Arial" w:eastAsia="Arial" w:hAnsi="Arial"/>
                <w:b/>
                <w:bCs/>
                <w:i w:val="false"/>
                <w:iCs w:val="false"/>
                <w:color w:val="8A5A00"/>
                <w:sz w:val="18"/>
                <w:szCs w:val="18"/>
              </w:rPr>
              <w:t xml:space="preserve">MEDIUM</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Home Manager</w:t>
            </w:r>
          </w:p>
        </w:tc>
      </w:tr>
      <w:tr>
        <w:tc>
          <w:tcPr>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i w:val="false"/>
                <w:iCs w:val="false"/>
                <w:color w:val="9A1C1C"/>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GDPR breach, individual health data transmitted outside care home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Federated architecture: all processing local. No raw data leaves the server. IT team accountable for architecture integrity.</w:t>
            </w:r>
          </w:p>
        </w:tc>
        <w:tc>
          <w:tcPr>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vAlign w:val="center"/>
          </w:tcPr>
          <w:p>
            <w:pPr>
              <w:jc w:val="center"/>
            </w:pPr>
            <w:r>
              <w:rPr>
                <w:rFonts w:ascii="Arial" w:cs="Arial" w:eastAsia="Arial" w:hAnsi="Arial"/>
                <w:b/>
                <w:bCs/>
                <w:i w:val="false"/>
                <w:iCs w:val="false"/>
                <w:color w:val="1A6B47"/>
                <w:sz w:val="18"/>
                <w:szCs w:val="18"/>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IT Team /
Home Manager</w:t>
            </w:r>
          </w:p>
        </w:tc>
      </w:tr>
      <w:tr>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center"/>
            </w:pPr>
            <w:r>
              <w:rPr>
                <w:rFonts w:ascii="Arial" w:cs="Arial" w:eastAsia="Arial" w:hAnsi="Arial"/>
                <w:b/>
                <w:bCs/>
                <w:i w:val="false"/>
                <w:iCs w:val="false"/>
                <w:color w:val="9A1C1C"/>
                <w:sz w:val="18"/>
                <w:szCs w:val="18"/>
              </w:rPr>
              <w:t xml:space="preserve">6</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Model performance degrades, AI outputs become unreliable over time</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2</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4</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Drift detection monitors for distributional shift. Retraining triggered when accuracy drops below threshold. Quarterly model review by AI BA.</w:t>
            </w:r>
          </w:p>
        </w:tc>
        <w:tc>
          <w:tcPr>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vAlign w:val="center"/>
          </w:tcPr>
          <w:p>
            <w:pPr>
              <w:jc w:val="center"/>
            </w:pPr>
            <w:r>
              <w:rPr>
                <w:rFonts w:ascii="Arial" w:cs="Arial" w:eastAsia="Arial" w:hAnsi="Arial"/>
                <w:b/>
                <w:bCs/>
                <w:i w:val="false"/>
                <w:iCs w:val="false"/>
                <w:color w:val="1A6B47"/>
                <w:sz w:val="18"/>
                <w:szCs w:val="18"/>
              </w:rPr>
              <w:t xml:space="preserve">LOW</w:t>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AI BA /
IT Team</w:t>
            </w:r>
          </w:p>
        </w:tc>
      </w:tr>
    </w:tbl>
    <w:p>
      <w:pPr>
        <w:spacing w:after="80" w:before="0"/>
        <w:jc w:val="left"/>
      </w:pPr>
      <w:r>
        <w:rPr>
          <w:rFonts w:ascii="Arial" w:cs="Arial" w:eastAsia="Arial" w:hAnsi="Arial"/>
          <w:color w:val="1A1A1A"/>
          <w:sz w:val="20"/>
          <w:szCs w:val="20"/>
        </w:rPr>
        <w:t xml:space="preserve"/>
      </w:r>
    </w:p>
    <w:p>
      <w:pPr>
        <w:spacing w:after="80" w:before="0"/>
        <w:jc w:val="left"/>
      </w:pPr>
      <w:r>
        <w:rPr>
          <w:rFonts w:ascii="Arial" w:cs="Arial" w:eastAsia="Arial" w:hAnsi="Arial"/>
          <w:b/>
          <w:bCs/>
          <w:i w:val="false"/>
          <w:iCs w:val="false"/>
          <w:color w:val="1A1A1A"/>
          <w:sz w:val="20"/>
          <w:szCs w:val="20"/>
        </w:rPr>
        <w:t xml:space="preserve">Risk rating guide: </w:t>
      </w:r>
      <w:r>
        <w:rPr>
          <w:rFonts w:ascii="Arial" w:cs="Arial" w:eastAsia="Arial" w:hAnsi="Arial"/>
          <w:b w:val="false"/>
          <w:bCs w:val="false"/>
          <w:i/>
          <w:iCs/>
          <w:color w:val="5B6B8A"/>
          <w:sz w:val="18"/>
          <w:szCs w:val="18"/>
        </w:rPr>
        <w:t xml:space="preserve">Score = Likelihood × Impact.  LOW = 1-6  |  MEDIUM = 7-12  |  HIGH = 13-25  |  All HIGH risks require immediate escalation to Home Manager and AI BA.</w:t>
      </w:r>
    </w:p>
    <w:p>
      <w:pPr>
        <w:spacing w:after="50" w:before="140"/>
      </w:pPr>
      <w:r>
        <w:rPr>
          <w:rFonts w:ascii="Arial" w:cs="Arial" w:eastAsia="Arial" w:hAnsi="Arial"/>
          <w:b/>
          <w:bCs/>
          <w:caps/>
          <w:color w:val="0D1B2A"/>
          <w:sz w:val="26"/>
          <w:szCs w:val="26"/>
        </w:rPr>
        <w:t>Part 3, AI Decision Log Template</w:t>
      </w:r>
    </w:p>
    <w:p>
      <w:pPr>
        <w:pBdr>
          <w:bottom w:val="single" w:color="5B2D8E" w:sz="6" w:space="1"/>
        </w:pBdr>
        <w:spacing w:after="60" w:before="120"/>
      </w:pPr>
    </w:p>
    <w:p>
      <w:pPr>
        <w:spacing w:after="80" w:before="0"/>
        <w:jc w:val="left"/>
      </w:pPr>
      <w:r>
        <w:rPr>
          <w:rFonts w:ascii="Arial" w:cs="Arial" w:eastAsia="Arial" w:hAnsi="Arial"/>
          <w:b/>
          <w:bCs/>
          <w:i w:val="false"/>
          <w:iCs w:val="false"/>
          <w:color w:val="1A1A1A"/>
          <w:sz w:val="20"/>
          <w:szCs w:val="20"/>
        </w:rPr>
        <w:t xml:space="preserve">Document reference: </w:t>
      </w:r>
      <w:r>
        <w:rPr>
          <w:rFonts w:ascii="Arial" w:cs="Arial" w:eastAsia="Arial" w:hAnsi="Arial"/>
          <w:b w:val="false"/>
          <w:bCs w:val="false"/>
          <w:i w:val="false"/>
          <w:iCs w:val="false"/>
          <w:color w:val="1A1A1A"/>
          <w:sz w:val="20"/>
          <w:szCs w:val="20"/>
        </w:rPr>
        <w:t xml:space="preserve">CF-AI-LOG-001  |  Complete one row per AI-related decision, incident, or change  |  Available to CQC on request</w:t>
      </w:r>
    </w:p>
    <w:p>
      <w:pPr>
        <w:spacing w:after="100" w:before="0"/>
        <w:jc w:val="left"/>
      </w:pPr>
      <w:r>
        <w:rPr>
          <w:rFonts w:ascii="Arial" w:cs="Arial" w:eastAsia="Arial" w:hAnsi="Arial"/>
          <w:b/>
          <w:bCs/>
          <w:i w:val="false"/>
          <w:iCs w:val="false"/>
          <w:color w:val="1A1A1A"/>
          <w:sz w:val="20"/>
          <w:szCs w:val="20"/>
        </w:rPr>
        <w:t xml:space="preserve">Instructions: </w:t>
      </w:r>
      <w:r>
        <w:rPr>
          <w:rFonts w:ascii="Arial" w:cs="Arial" w:eastAsia="Arial" w:hAnsi="Arial"/>
          <w:b w:val="false"/>
          <w:bCs w:val="false"/>
          <w:i w:val="false"/>
          <w:iCs w:val="false"/>
          <w:color w:val="1A1A1A"/>
          <w:sz w:val="20"/>
          <w:szCs w:val="20"/>
        </w:rPr>
        <w:t xml:space="preserve">Log every significant AI-related decision, incident, alert escalation, or policy change. Do not log routine AI actions that are captured in the care management system audit trail. Log exceptions, decisions, and changes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200"/>
        <w:gridCol w:w="1500"/>
        <w:gridCol w:w="1200"/>
        <w:gridCol w:w="1226"/>
        <w:gridCol w:w="1200"/>
        <w:gridCol w:w="1100"/>
      </w:tblGrid>
      <w:tr>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Date</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Time</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AI Workflow</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Decision / Incident</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Action Taken</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Staff Member</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Approved by</w:t>
            </w:r>
          </w:p>
        </w:tc>
        <w:tc>
          <w:tcPr>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Review Date</w:t>
            </w:r>
          </w:p>
        </w:tc>
      </w:tr>
      <w:tr>
        <w:trPr>
          <w:trHeight w:val="500"/>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r>
      <w:tr>
        <w:trPr>
          <w:trHeight w:val="500"/>
        </w:trPr>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r>
      <w:tr>
        <w:trPr>
          <w:trHeight w:val="500"/>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r>
      <w:tr>
        <w:trPr>
          <w:trHeight w:val="500"/>
        </w:trPr>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r>
      <w:tr>
        <w:trPr>
          <w:trHeight w:val="500"/>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r>
      <w:tr>
        <w:trPr>
          <w:trHeight w:val="500"/>
        </w:trPr>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r>
      <w:tr>
        <w:trPr>
          <w:trHeight w:val="500"/>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r>
      <w:tr>
        <w:trPr>
          <w:trHeight w:val="500"/>
        </w:trPr>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r>
      <w:tr>
        <w:trPr>
          <w:trHeight w:val="500"/>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r>
      <w:tr>
        <w:trPr>
          <w:trHeight w:val="500"/>
        </w:trPr>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Borders>
              <w:top w:val="single" w:color="CCCCCC" w:sz="1"/>
              <w:left w:val="single" w:color="CCCCCC" w:sz="1"/>
              <w:bottom w:val="single" w:color="CCCCCC" w:sz="1"/>
              <w:right w:val="single" w:color="CCCCCC" w:sz="1"/>
            </w:tcBorders>
            <w:shd w:fill="F4F2E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r>
    </w:tbl>
    <w:p>
      <w:pPr>
        <w:spacing w:after="80" w:before="0"/>
        <w:jc w:val="left"/>
      </w:pPr>
      <w:r>
        <w:rPr>
          <w:rFonts w:ascii="Arial" w:cs="Arial" w:eastAsia="Arial" w:hAnsi="Arial"/>
          <w:color w:val="1A1A1A"/>
          <w:sz w:val="20"/>
          <w:szCs w:val="20"/>
        </w:rPr>
        <w:t xml:space="preserve"/>
      </w:r>
    </w:p>
    <w:p>
      <w:pPr>
        <w:spacing w:after="80" w:before="40"/>
        <w:jc w:val="left"/>
      </w:pPr>
      <w:r>
        <w:rPr>
          <w:rFonts w:ascii="Arial" w:cs="Arial" w:eastAsia="Arial" w:hAnsi="Arial"/>
          <w:b/>
          <w:bCs/>
          <w:i w:val="false"/>
          <w:iCs w:val="false"/>
          <w:color w:val="5B2D8E"/>
          <w:sz w:val="20"/>
          <w:szCs w:val="20"/>
        </w:rPr>
        <w:t xml:space="preserve">Example entry: </w:t>
      </w:r>
      <w:r>
        <w:rPr>
          <w:rFonts w:ascii="Arial" w:cs="Arial" w:eastAsia="Arial" w:hAnsi="Arial"/>
          <w:b w:val="false"/>
          <w:bCs w:val="false"/>
          <w:i/>
          <w:iCs/>
          <w:color w:val="5B6B8A"/>
          <w:sz w:val="18"/>
          <w:szCs w:val="18"/>
        </w:rPr>
        <w:t>Date: 15/07/2026  |  Time: 09:30  |  AI Workflow: Medication Alert  |  Decision: Alert raised for [Name], reviewed by Senior Staff  |  Action Taken: GP contacted, medication reviewed  |  Staff: J. Smith  |  Approved by: Home Manager  |  Review: 22/07/2026</w:t>
      </w:r>
    </w:p>
    <w:p>
      <w:pPr>
        <w:spacing w:after="80" w:before="0"/>
        <w:jc w:val="left"/>
      </w:pPr>
      <w:r>
        <w:rPr>
          <w:rFonts w:ascii="Arial" w:cs="Arial" w:eastAsia="Arial" w:hAnsi="Arial"/>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B2D8E" w:sz="4"/>
              <w:left w:val="single" w:color="5B2D8E" w:sz="12"/>
              <w:bottom w:val="single" w:color="5B2D8E" w:sz="4"/>
              <w:right w:val="single" w:color="5B2D8E" w:sz="4"/>
            </w:tcBorders>
            <w:shd w:fill="F0EBF8" w:val="clear"/>
            <w:tcMar>
              <w:top w:type="dxa" w:w="140"/>
              <w:left w:type="dxa" w:w="200"/>
              <w:bottom w:type="dxa" w:w="140"/>
              <w:right w:type="dxa" w:w="200"/>
            </w:tcMar>
          </w:tcPr>
          <w:p>
            <w:r>
              <w:rPr>
                <w:rFonts w:ascii="Arial" w:cs="Arial" w:eastAsia="Arial" w:hAnsi="Arial"/>
                <w:color w:val="1A1A1A"/>
                <w:sz w:val="20"/>
                <w:szCs w:val="20"/>
              </w:rPr>
              <w:t xml:space="preserve">This log is part of CareForward's AI audit trail. All entries are timestamped and stored for a minimum of 3 years. In the event of a CQC inspection, this document alongside the system audit trail constitutes the complete AI accountability record.</w:t>
            </w:r>
          </w:p>
        </w:tc>
      </w:tr>
    </w:tbl>
    <w:p>
      <w:pPr>
        <w:spacing w:after="80" w:before="0"/>
        <w:jc w:val="left"/>
      </w:pPr>
      <w:r>
        <w:rPr>
          <w:rFonts w:ascii="Arial" w:cs="Arial" w:eastAsia="Arial" w:hAnsi="Arial"/>
          <w:color w:val="1A1A1A"/>
          <w:sz w:val="20"/>
          <w:szCs w:val="20"/>
        </w:rPr>
        <w:t xml:space="preserve"/>
      </w:r>
    </w:p>
    <w:p>
      <w:pPr>
        <w:pBdr>
          <w:top w:val="single" w:color="CCCCCC" w:sz="2" w:space="1"/>
        </w:pBdr>
        <w:spacing w:after="0" w:before="0"/>
      </w:pPr>
    </w:p>
    <w:p>
      <w:pPr>
        <w:spacing w:after="0" w:before="60"/>
        <w:jc w:val="left"/>
      </w:pPr>
      <w:r>
        <w:rPr>
          <w:rFonts w:ascii="Arial" w:cs="Arial" w:eastAsia="Arial" w:hAnsi="Arial"/>
          <w:b w:val="false"/>
          <w:bCs w:val="false"/>
          <w:i/>
          <w:iCs/>
          <w:color w:val="5B6B8A"/>
          <w:sz w:val="16"/>
          <w:szCs w:val="16"/>
        </w:rPr>
        <w:t xml:space="preserve">CareForward Group  |  AI Governance Pack  |  Version 1.0  |  June 2026  |  Author: Stephanie Onuoha  |  Review: June 2027</w:t>
      </w:r>
    </w:p>
    <w:sectPr>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2026-06-24T19:56:12.344Z</dcterms:created>
  <dcterms:modified xsi:type="dcterms:W3CDTF">2026-06-24T19:56:12.344Z</dcterms:modified>
</cp:coreProperties>
</file>

<file path=docProps/custom.xml><?xml version="1.0" encoding="utf-8"?>
<Properties xmlns="http://schemas.openxmlformats.org/officeDocument/2006/custom-properties" xmlns:vt="http://schemas.openxmlformats.org/officeDocument/2006/docPropsVTypes"/>
</file>