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1B2A" w:sz="1"/>
              <w:left w:val="single" w:color="0D1B2A" w:sz="1"/>
              <w:bottom w:val="single" w:color="0D1B2A" w:sz="1"/>
              <w:right w:val="single" w:color="0D1B2A" w:sz="1"/>
            </w:tcBorders>
            <w:shd w:fill="0D1B2A" w:val="clear"/>
            <w:tcMar>
              <w:top w:type="dxa" w:w="400"/>
              <w:left w:type="dxa" w:w="400"/>
              <w:bottom w:type="dxa" w:w="400"/>
              <w:right w:type="dxa" w:w="400"/>
            </w:tcMar>
          </w:tcPr>
          <w:p>
            <w:pPr>
              <w:spacing w:after="80" w:before="200"/>
              <w:jc w:val="center"/>
            </w:pPr>
            <w:r>
              <w:rPr>
                <w:rFonts w:ascii="Arial" w:cs="Arial" w:eastAsia="Arial" w:hAnsi="Arial"/>
                <w:b/>
                <w:bCs/>
                <w:color w:val="FFFFFF"/>
                <w:sz w:val="48"/>
                <w:szCs w:val="48"/>
              </w:rPr>
              <w:t xml:space="preserve">CAREFORWARD GROUP</w:t>
            </w:r>
          </w:p>
          <w:p>
            <w:pPr>
              <w:spacing w:after="80" w:before="0"/>
              <w:jc w:val="center"/>
            </w:pPr>
            <w:r>
              <w:rPr>
                <w:rFonts w:ascii="Arial" w:cs="Arial" w:eastAsia="Arial" w:hAnsi="Arial"/>
                <w:b w:val="false"/>
                <w:bCs w:val="false"/>
                <w:color w:val="A0B8D8"/>
                <w:sz w:val="36"/>
                <w:szCs w:val="36"/>
              </w:rPr>
              <w:t xml:space="preserve">AI Automation Business Case</w:t>
            </w:r>
          </w:p>
          <w:p>
            <w:pPr>
              <w:spacing w:after="200" w:before="80"/>
              <w:jc w:val="center"/>
            </w:pPr>
            <w:r>
              <w:rPr>
                <w:rFonts w:ascii="Arial" w:cs="Arial" w:eastAsia="Arial" w:hAnsi="Arial"/>
                <w:i/>
                <w:iCs/>
                <w:color w:val="A0B8D8"/>
                <w:sz w:val="22"/>
                <w:szCs w:val="22"/>
              </w:rPr>
              <w:t xml:space="preserve">Identifying, Quantifying and Prioritising Automation Opportunities in Social Care Operations</w:t>
            </w:r>
          </w:p>
          <w:p>
            <w:pPr>
              <w:spacing w:after="0" w:before="0"/>
              <w:jc w:val="center"/>
            </w:pPr>
            <w:r>
              <w:rPr>
                <w:rFonts w:ascii="Arial" w:cs="Arial" w:eastAsia="Arial" w:hAnsi="Arial"/>
                <w:color w:val="3D7ABF"/>
                <w:sz w:val="18"/>
                <w:szCs w:val="18"/>
              </w:rPr>
              <w:t xml:space="preserve">─────────────────────────────────────────</w:t>
            </w:r>
          </w:p>
          <w:p>
            <w:pPr>
              <w:spacing w:after="40" w:before="80"/>
              <w:jc w:val="center"/>
            </w:pPr>
            <w:r>
              <w:rPr>
                <w:rFonts w:ascii="Arial" w:cs="Arial" w:eastAsia="Arial" w:hAnsi="Arial"/>
                <w:color w:val="C0D0E8"/>
                <w:sz w:val="18"/>
                <w:szCs w:val="18"/>
              </w:rPr>
              <w:t xml:space="preserve">Author: Stephanie Onuoha, BEng Computer Engineering, MSc AI &amp; Data Science (University of Hull)</w:t>
            </w:r>
          </w:p>
          <w:p>
            <w:pPr>
              <w:spacing w:after="40" w:before="40"/>
              <w:jc w:val="center"/>
            </w:pPr>
            <w:r>
              <w:rPr>
                <w:rFonts w:ascii="Arial" w:cs="Arial" w:eastAsia="Arial" w:hAnsi="Arial"/>
                <w:color w:val="C0D0E8"/>
                <w:sz w:val="18"/>
                <w:szCs w:val="18"/>
              </w:rPr>
              <w:t xml:space="preserve">Research Foundation: LogAE-XGBoost-SHAP Federated Model  |  0.95 Accuracy  |  0.99 AUC  |  SHAP Stability 0.9934</w:t>
            </w:r>
          </w:p>
          <w:p>
            <w:pPr>
              <w:spacing w:after="200" w:before="40"/>
              <w:jc w:val="center"/>
            </w:pPr>
            <w:r>
              <w:rPr>
                <w:rFonts w:ascii="Arial" w:cs="Arial" w:eastAsia="Arial" w:hAnsi="Arial"/>
                <w:color w:val="C0D0E8"/>
                <w:sz w:val="18"/>
                <w:szCs w:val="18"/>
              </w:rPr>
              <w:t xml:space="preserve">June 2026  |  Version 1.0  |  CONFIDENTIAL</w:t>
            </w:r>
          </w:p>
        </w:tc>
      </w:tr>
    </w:tbl>
    <w:p>
      <w:pPr>
        <w:spacing w:after="120" w:before="0"/>
      </w:pPr>
      <w:r>
        <w:rPr>
          <w:rFonts w:ascii="Arial" w:cs="Arial" w:eastAsia="Arial" w:hAnsi="Arial"/>
          <w:color w:val="1A1A1A"/>
          <w:sz w:val="20"/>
          <w:szCs w:val="20"/>
        </w:rPr>
        <w:t xml:space="preserve"/>
      </w:r>
    </w:p>
    <w:p>
      <w:r>
        <w:br w:type="page"/>
      </w:r>
    </w:p>
    <w:p>
      <w:pPr>
        <w:pStyle w:val="Heading1"/>
        <w:spacing w:after="160" w:before="320"/>
      </w:pPr>
      <w:r>
        <w:rPr>
          <w:rFonts w:ascii="Arial" w:cs="Arial" w:eastAsia="Arial" w:hAnsi="Arial"/>
          <w:b/>
          <w:bCs/>
          <w:color w:val="0D1B2A"/>
          <w:sz w:val="32"/>
          <w:szCs w:val="32"/>
        </w:rPr>
        <w:t xml:space="preserve">Executive Summary</w:t>
      </w:r>
    </w:p>
    <w:p>
      <w:pPr>
        <w:pBdr>
          <w:bottom w:val="single" w:color="3D7ABF" w:sz="4" w:space="1"/>
        </w:pBd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47" w:sz="1"/>
              <w:left w:val="single" w:color="1E6B47" w:sz="1"/>
              <w:bottom w:val="single" w:color="1E6B47" w:sz="1"/>
              <w:right w:val="single" w:color="1E6B47" w:sz="1"/>
            </w:tcBorders>
            <w:shd w:fill="E6F4EC" w:val="clear"/>
            <w:tcMar>
              <w:top w:type="dxa" w:w="120"/>
              <w:left w:type="dxa" w:w="200"/>
              <w:bottom w:type="dxa" w:w="120"/>
              <w:right w:type="dxa" w:w="200"/>
            </w:tcMar>
          </w:tcPr>
          <w:p>
            <w:r>
              <w:rPr>
                <w:rFonts w:ascii="Arial" w:cs="Arial" w:eastAsia="Arial" w:hAnsi="Arial"/>
                <w:b w:val="false"/>
                <w:bCs w:val="false"/>
                <w:color w:val="1E6B47"/>
                <w:sz w:val="20"/>
                <w:szCs w:val="20"/>
              </w:rPr>
              <w:t xml:space="preserve">Key Finding: CareForward Group support workers spend an estimated 40–72 hours per week on manual administrative logging — equivalent to 1–2 full staff days lost to admin across a three-shift team. This analysis identifies four AI automation opportunities that could reclaim up to 60% of that time, reduce medication error rates by 60–80%, and enable earlier clinical intervention — while maintaining full compliance with CQC requirements and GDPR obligations.</w:t>
            </w:r>
          </w:p>
        </w:tc>
      </w:tr>
    </w:tbl>
    <w:p>
      <w:pPr>
        <w:spacing w:after="120" w:before="0"/>
      </w:pPr>
      <w:r>
        <w:rPr>
          <w:rFonts w:ascii="Arial" w:cs="Arial" w:eastAsia="Arial" w:hAnsi="Arial"/>
          <w:color w:val="1A1A1A"/>
          <w:sz w:val="20"/>
          <w:szCs w:val="20"/>
        </w:rPr>
        <w:t xml:space="preserve"/>
      </w:r>
    </w:p>
    <w:p>
      <w:pPr>
        <w:spacing w:after="120" w:before="0"/>
      </w:pPr>
      <w:r>
        <w:rPr>
          <w:rFonts w:ascii="Arial" w:cs="Arial" w:eastAsia="Arial" w:hAnsi="Arial"/>
          <w:b w:val="false"/>
          <w:bCs w:val="false"/>
          <w:i w:val="false"/>
          <w:iCs w:val="false"/>
          <w:color w:val="1A1A1A"/>
          <w:sz w:val="20"/>
          <w:szCs w:val="20"/>
        </w:rPr>
        <w:t xml:space="preserve">CareForward Group operates a 24-hour supported living service across multiple residential homes, providing care to individuals with complex needs. The organisation faces a persistent and growing tension between </w:t>
      </w:r>
      <w:r>
        <w:rPr>
          <w:rFonts w:ascii="Arial" w:cs="Arial" w:eastAsia="Arial" w:hAnsi="Arial"/>
          <w:b/>
          <w:bCs/>
          <w:i w:val="false"/>
          <w:iCs w:val="false"/>
          <w:color w:val="1A1A1A"/>
          <w:sz w:val="20"/>
          <w:szCs w:val="20"/>
        </w:rPr>
        <w:t xml:space="preserve">regulatory compliance documentation requirements</w:t>
      </w:r>
      <w:r>
        <w:rPr>
          <w:rFonts w:ascii="Arial" w:cs="Arial" w:eastAsia="Arial" w:hAnsi="Arial"/>
          <w:b w:val="false"/>
          <w:bCs w:val="false"/>
          <w:i w:val="false"/>
          <w:iCs w:val="false"/>
          <w:color w:val="1A1A1A"/>
          <w:sz w:val="20"/>
          <w:szCs w:val="20"/>
        </w:rPr>
        <w:t xml:space="preserve"> and </w:t>
      </w:r>
      <w:r>
        <w:rPr>
          <w:rFonts w:ascii="Arial" w:cs="Arial" w:eastAsia="Arial" w:hAnsi="Arial"/>
          <w:b/>
          <w:bCs/>
          <w:i w:val="false"/>
          <w:iCs w:val="false"/>
          <w:color w:val="1A1A1A"/>
          <w:sz w:val="20"/>
          <w:szCs w:val="20"/>
        </w:rPr>
        <w:t xml:space="preserve">direct care time with service users.</w:t>
      </w:r>
    </w:p>
    <w:p>
      <w:pPr>
        <w:spacing w:after="120" w:before="0"/>
      </w:pPr>
      <w:r>
        <w:rPr>
          <w:rFonts w:ascii="Arial" w:cs="Arial" w:eastAsia="Arial" w:hAnsi="Arial"/>
          <w:color w:val="1A1A1A"/>
          <w:sz w:val="20"/>
          <w:szCs w:val="20"/>
        </w:rPr>
        <w:t xml:space="preserve">This business case presents a structured analysis of four AI-enabled automation opportunities, developed through stakeholder discovery, current-state process mapping, and effort quantification. Every recommendation is grounded in peer-reviewed federated machine learning research and designed to preserve human accountability at every decision point.</w:t>
      </w:r>
    </w:p>
    <w:p>
      <w:pPr>
        <w:spacing w:after="120" w:before="0"/>
      </w:pPr>
      <w:r>
        <w:rPr>
          <w:rFonts w:ascii="Arial" w:cs="Arial" w:eastAsia="Arial" w:hAnsi="Arial"/>
          <w:b w:val="false"/>
          <w:bCs w:val="false"/>
          <w:i w:val="false"/>
          <w:iCs w:val="false"/>
          <w:color w:val="1A1A1A"/>
          <w:sz w:val="20"/>
          <w:szCs w:val="20"/>
        </w:rPr>
        <w:t xml:space="preserve">Recommendation: </w:t>
      </w:r>
      <w:r>
        <w:rPr>
          <w:rFonts w:ascii="Arial" w:cs="Arial" w:eastAsia="Arial" w:hAnsi="Arial"/>
          <w:b w:val="false"/>
          <w:bCs w:val="false"/>
          <w:i w:val="false"/>
          <w:iCs w:val="false"/>
          <w:color w:val="1A1A1A"/>
          <w:sz w:val="20"/>
          <w:szCs w:val="20"/>
        </w:rPr>
        <w:t xml:space="preserve">Implement Voice-to-Text Care Logging and Medication Error Prevention as Phase 1 priorities. Pilot AI-Assisted Handover Summaries as a low-risk entry point to build staff confidence. Introduce Early Health Deterioration Detection in Phase 2 once federated infrastructure is established.</w:t>
      </w:r>
    </w:p>
    <w:p>
      <w:pPr>
        <w:spacing w:after="120" w:before="0"/>
      </w:pPr>
      <w:r>
        <w:rPr>
          <w:rFonts w:ascii="Arial" w:cs="Arial" w:eastAsia="Arial" w:hAnsi="Arial"/>
          <w:color w:val="1A1A1A"/>
          <w:sz w:val="20"/>
          <w:szCs w:val="20"/>
        </w:rPr>
        <w:t xml:space="preserve"/>
      </w:r>
    </w:p>
    <w:p>
      <w:r>
        <w:br w:type="page"/>
      </w:r>
    </w:p>
    <w:p>
      <w:pPr>
        <w:pStyle w:val="Heading1"/>
        <w:spacing w:after="160" w:before="320"/>
      </w:pPr>
      <w:r>
        <w:rPr>
          <w:rFonts w:ascii="Arial" w:cs="Arial" w:eastAsia="Arial" w:hAnsi="Arial"/>
          <w:b/>
          <w:bCs/>
          <w:color w:val="0D1B2A"/>
          <w:sz w:val="32"/>
          <w:szCs w:val="32"/>
        </w:rPr>
        <w:t xml:space="preserve">1. Current State: The Problem</w:t>
      </w:r>
    </w:p>
    <w:p>
      <w:pPr>
        <w:pBdr>
          <w:bottom w:val="single" w:color="3D7ABF" w:sz="4" w:space="1"/>
        </w:pBdr>
        <w:spacing w:after="160" w:before="160"/>
      </w:pPr>
    </w:p>
    <w:p>
      <w:pPr>
        <w:pStyle w:val="Heading2"/>
        <w:spacing w:after="120" w:before="240"/>
      </w:pPr>
      <w:r>
        <w:rPr>
          <w:rFonts w:ascii="Arial" w:cs="Arial" w:eastAsia="Arial" w:hAnsi="Arial"/>
          <w:b/>
          <w:bCs/>
          <w:color w:val="3D7ABF"/>
          <w:sz w:val="24"/>
          <w:szCs w:val="24"/>
        </w:rPr>
        <w:t xml:space="preserve">1.1 The Admin Burden</w:t>
      </w:r>
    </w:p>
    <w:p>
      <w:pPr>
        <w:spacing w:after="120" w:before="0"/>
      </w:pPr>
      <w:r>
        <w:rPr>
          <w:rFonts w:ascii="Arial" w:cs="Arial" w:eastAsia="Arial" w:hAnsi="Arial"/>
          <w:color w:val="1A1A1A"/>
          <w:sz w:val="20"/>
          <w:szCs w:val="20"/>
        </w:rPr>
        <w:t xml:space="preserve">Support workers in CareForward's residential homes operate across three daily shifts: 07:00–14:30 (morning), 14:00–21:00 (afternoon), and 21:00–07:00 (night). Each shift carries a significant and recurring administrative documentation requirement.</w:t>
      </w:r>
    </w:p>
    <w:p>
      <w:pPr>
        <w:spacing w:after="120" w:before="0"/>
      </w:pPr>
      <w:r>
        <w:rPr>
          <w:rFonts w:ascii="Arial" w:cs="Arial" w:eastAsia="Arial" w:hAnsi="Arial"/>
          <w:b w:val="false"/>
          <w:bCs w:val="false"/>
          <w:i w:val="false"/>
          <w:iCs w:val="false"/>
          <w:color w:val="1A1A1A"/>
          <w:sz w:val="20"/>
          <w:szCs w:val="20"/>
        </w:rPr>
        <w:t xml:space="preserve">Every hour, staff are required to log: </w:t>
      </w:r>
      <w:r>
        <w:rPr>
          <w:rFonts w:ascii="Arial" w:cs="Arial" w:eastAsia="Arial" w:hAnsi="Arial"/>
          <w:b/>
          <w:bCs/>
          <w:i w:val="false"/>
          <w:iCs w:val="false"/>
          <w:color w:val="1A1A1A"/>
          <w:sz w:val="20"/>
          <w:szCs w:val="20"/>
        </w:rPr>
        <w:t xml:space="preserve">mood, health, activity, fluid intake, food intake, and appearance.</w:t>
      </w:r>
      <w:r>
        <w:rPr>
          <w:rFonts w:ascii="Arial" w:cs="Arial" w:eastAsia="Arial" w:hAnsi="Arial"/>
          <w:b w:val="false"/>
          <w:bCs w:val="false"/>
          <w:i w:val="false"/>
          <w:iCs w:val="false"/>
          <w:color w:val="1A1A1A"/>
          <w:sz w:val="20"/>
          <w:szCs w:val="20"/>
        </w:rPr>
        <w:t xml:space="preserve"> This takes 5–15 minutes per hour — time extracted directly from care delivery.</w:t>
      </w:r>
    </w:p>
    <w:p>
      <w:pPr>
        <w:spacing w:after="120" w:before="0"/>
      </w:pPr>
      <w:r>
        <w:rPr>
          <w:rFonts w:ascii="Arial" w:cs="Arial" w:eastAsia="Arial" w:hAnsi="Arial"/>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Admin Task</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 per Shift</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 per Week (3-shift team)</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Hourly activity/mood/health logging</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35–75 min</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17.5–37.5 hrs</w:t>
            </w:r>
          </w:p>
        </w:tc>
        <w:tc>
          <w:tcPr>
            <w:tcBorders>
              <w:top w:val="single" w:color="E0DBD0" w:sz="1"/>
              <w:left w:val="single" w:color="E0DBD0" w:sz="1"/>
              <w:bottom w:val="single" w:color="E0DBD0" w:sz="1"/>
              <w:right w:val="single" w:color="E0DBD0" w:sz="1"/>
            </w:tcBorders>
            <w:shd w:fill="FDEAEA" w:val="clear"/>
            <w:tcMar>
              <w:top w:type="dxa" w:w="80"/>
              <w:left w:type="dxa" w:w="120"/>
              <w:bottom w:type="dxa" w:w="80"/>
              <w:right w:type="dxa" w:w="120"/>
            </w:tcMar>
            <w:vAlign w:val="center"/>
          </w:tcPr>
          <w:p>
            <w:pPr>
              <w:jc w:val="center"/>
            </w:pPr>
            <w:r>
              <w:rPr>
                <w:rFonts w:ascii="Arial" w:cs="Arial" w:eastAsia="Arial" w:hAnsi="Arial"/>
                <w:b/>
                <w:bCs/>
                <w:i w:val="false"/>
                <w:iCs w:val="false"/>
                <w:color w:val="9A1C1C"/>
                <w:sz w:val="18"/>
                <w:szCs w:val="18"/>
              </w:rPr>
              <w:t xml:space="preserve">CRITICAL</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Medication Administration Record (MAR)</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15–20 min</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7.5–10 hrs</w:t>
            </w:r>
          </w:p>
        </w:tc>
        <w:tc>
          <w:tcPr>
            <w:tcBorders>
              <w:top w:val="single" w:color="E0DBD0" w:sz="1"/>
              <w:left w:val="single" w:color="E0DBD0" w:sz="1"/>
              <w:bottom w:val="single" w:color="E0DBD0" w:sz="1"/>
              <w:right w:val="single" w:color="E0DBD0" w:sz="1"/>
            </w:tcBorders>
            <w:shd w:fill="FDEAEA" w:val="clear"/>
            <w:tcMar>
              <w:top w:type="dxa" w:w="80"/>
              <w:left w:type="dxa" w:w="120"/>
              <w:bottom w:type="dxa" w:w="80"/>
              <w:right w:type="dxa" w:w="120"/>
            </w:tcMar>
            <w:vAlign w:val="center"/>
          </w:tcPr>
          <w:p>
            <w:pPr>
              <w:jc w:val="center"/>
            </w:pPr>
            <w:r>
              <w:rPr>
                <w:rFonts w:ascii="Arial" w:cs="Arial" w:eastAsia="Arial" w:hAnsi="Arial"/>
                <w:b/>
                <w:bCs/>
                <w:i w:val="false"/>
                <w:iCs w:val="false"/>
                <w:color w:val="9A1C1C"/>
                <w:sz w:val="18"/>
                <w:szCs w:val="18"/>
              </w:rPr>
              <w:t xml:space="preserve">CRITICAL</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Shift handover documentation</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20–30 min</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7–10.5 hrs</w:t>
            </w:r>
          </w:p>
        </w:tc>
        <w:tc>
          <w:tcPr>
            <w:tcBorders>
              <w:top w:val="single" w:color="E0DBD0" w:sz="1"/>
              <w:left w:val="single" w:color="E0DBD0" w:sz="1"/>
              <w:bottom w:val="single" w:color="E0DBD0" w:sz="1"/>
              <w:right w:val="single" w:color="E0DBD0" w:sz="1"/>
            </w:tcBorders>
            <w:shd w:fill="FFF5E0" w:val="clear"/>
            <w:tcMar>
              <w:top w:type="dxa" w:w="80"/>
              <w:left w:type="dxa" w:w="120"/>
              <w:bottom w:type="dxa" w:w="80"/>
              <w:right w:type="dxa" w:w="120"/>
            </w:tcMar>
            <w:vAlign w:val="center"/>
          </w:tcPr>
          <w:p>
            <w:pPr>
              <w:jc w:val="center"/>
            </w:pPr>
            <w:r>
              <w:rPr>
                <w:rFonts w:ascii="Arial" w:cs="Arial" w:eastAsia="Arial" w:hAnsi="Arial"/>
                <w:b/>
                <w:bCs/>
                <w:i w:val="false"/>
                <w:iCs w:val="false"/>
                <w:color w:val="8A5A00"/>
                <w:sz w:val="18"/>
                <w:szCs w:val="18"/>
              </w:rPr>
              <w:t xml:space="preserve">HIGH</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Food &amp; fluid intake logs</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10–15 min</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5–7.5 hrs</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center"/>
            </w:pPr>
            <w:r>
              <w:rPr>
                <w:rFonts w:ascii="Arial" w:cs="Arial" w:eastAsia="Arial" w:hAnsi="Arial"/>
                <w:b/>
                <w:bCs/>
                <w:i w:val="false"/>
                <w:iCs w:val="false"/>
                <w:color w:val="5B6B8A"/>
                <w:sz w:val="18"/>
                <w:szCs w:val="18"/>
              </w:rPr>
              <w:t xml:space="preserve">MEDIUM</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Incident reports (when triggered)</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20–40 min per incident</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Variable</w:t>
            </w:r>
          </w:p>
        </w:tc>
        <w:tc>
          <w:tcPr>
            <w:tcBorders>
              <w:top w:val="single" w:color="E0DBD0" w:sz="1"/>
              <w:left w:val="single" w:color="E0DBD0" w:sz="1"/>
              <w:bottom w:val="single" w:color="E0DBD0" w:sz="1"/>
              <w:right w:val="single" w:color="E0DBD0" w:sz="1"/>
            </w:tcBorders>
            <w:shd w:fill="FFF5E0" w:val="clear"/>
            <w:tcMar>
              <w:top w:type="dxa" w:w="80"/>
              <w:left w:type="dxa" w:w="120"/>
              <w:bottom w:type="dxa" w:w="80"/>
              <w:right w:type="dxa" w:w="120"/>
            </w:tcMar>
            <w:vAlign w:val="center"/>
          </w:tcPr>
          <w:p>
            <w:pPr>
              <w:jc w:val="center"/>
            </w:pPr>
            <w:r>
              <w:rPr>
                <w:rFonts w:ascii="Arial" w:cs="Arial" w:eastAsia="Arial" w:hAnsi="Arial"/>
                <w:b/>
                <w:bCs/>
                <w:i w:val="false"/>
                <w:iCs w:val="false"/>
                <w:color w:val="8A5A00"/>
                <w:sz w:val="18"/>
                <w:szCs w:val="18"/>
              </w:rPr>
              <w:t xml:space="preserve">HIGH</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Daily compliance review (senior)</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30–60 min</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2.5–5 hrs</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center"/>
            </w:pPr>
            <w:r>
              <w:rPr>
                <w:rFonts w:ascii="Arial" w:cs="Arial" w:eastAsia="Arial" w:hAnsi="Arial"/>
                <w:b/>
                <w:bCs/>
                <w:i w:val="false"/>
                <w:iCs w:val="false"/>
                <w:color w:val="5B6B8A"/>
                <w:sz w:val="18"/>
                <w:szCs w:val="18"/>
              </w:rPr>
              <w:t xml:space="preserve">MEDIUM</w:t>
            </w:r>
          </w:p>
        </w:tc>
      </w:tr>
      <w:tr>
        <w:tc>
          <w:tcPr>
            <w:tcBorders>
              <w:top w:val="single" w:color="E0DBD0" w:sz="1"/>
              <w:left w:val="single" w:color="E0DBD0" w:sz="1"/>
              <w:bottom w:val="single" w:color="E0DBD0" w:sz="1"/>
              <w:right w:val="single" w:color="E0DBD0" w:sz="1"/>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TOTAL</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~2–4 hrs per shift</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~40–72 hrs per week</w:t>
            </w:r>
          </w:p>
        </w:tc>
        <w:tc>
          <w:tcPr>
            <w:tcBorders>
              <w:top w:val="single" w:color="E0DBD0" w:sz="1"/>
              <w:left w:val="single" w:color="E0DBD0" w:sz="1"/>
              <w:bottom w:val="single" w:color="E0DBD0" w:sz="1"/>
              <w:right w:val="single" w:color="E0DBD0" w:sz="1"/>
            </w:tcBorders>
            <w:shd w:fill="0D1B2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1–2 staff days lost to admin</w:t>
            </w:r>
          </w:p>
        </w:tc>
      </w:tr>
    </w:tbl>
    <w:p>
      <w:pPr>
        <w:spacing w:after="120" w:before="0"/>
      </w:pPr>
      <w:r>
        <w:rPr>
          <w:rFonts w:ascii="Arial" w:cs="Arial" w:eastAsia="Arial" w:hAnsi="Arial"/>
          <w:color w:val="1A1A1A"/>
          <w:sz w:val="20"/>
          <w:szCs w:val="20"/>
        </w:rPr>
        <w:t xml:space="preserve"/>
      </w:r>
    </w:p>
    <w:p>
      <w:pPr>
        <w:pStyle w:val="Heading2"/>
        <w:spacing w:after="120" w:before="240"/>
      </w:pPr>
      <w:r>
        <w:rPr>
          <w:rFonts w:ascii="Arial" w:cs="Arial" w:eastAsia="Arial" w:hAnsi="Arial"/>
          <w:b/>
          <w:bCs/>
          <w:color w:val="3D7ABF"/>
          <w:sz w:val="24"/>
          <w:szCs w:val="24"/>
        </w:rPr>
        <w:t xml:space="preserve">1.2 The Critical Pain Points</w:t>
      </w:r>
    </w:p>
    <w:p>
      <w:pPr>
        <w:pStyle w:val="ListParagraph"/>
        <w:numPr>
          <w:ilvl w:val="0"/>
          <w:numId w:val="2"/>
        </w:numPr>
        <w:spacing w:after="80" w:before="0"/>
      </w:pPr>
      <w:r>
        <w:rPr>
          <w:rFonts w:ascii="Arial" w:cs="Arial" w:eastAsia="Arial" w:hAnsi="Arial"/>
          <w:b/>
          <w:bCs/>
          <w:sz w:val="20"/>
          <w:szCs w:val="20"/>
        </w:rPr>
        <w:t xml:space="preserve">Medication logs are the highest error-risk task. </w:t>
      </w:r>
      <w:r>
        <w:rPr>
          <w:rFonts w:ascii="Arial" w:cs="Arial" w:eastAsia="Arial" w:hAnsi="Arial"/>
          <w:sz w:val="20"/>
          <w:szCs w:val="20"/>
        </w:rPr>
        <w:t xml:space="preserve"/>
      </w:r>
    </w:p>
    <w:p>
      <w:pPr>
        <w:spacing w:after="120" w:before="0"/>
        <w:ind w:left="720"/>
      </w:pPr>
      <w:r>
        <w:rPr>
          <w:rFonts w:ascii="Arial" w:cs="Arial" w:eastAsia="Arial" w:hAnsi="Arial"/>
          <w:b w:val="false"/>
          <w:bCs w:val="false"/>
          <w:i w:val="false"/>
          <w:iCs w:val="false"/>
          <w:color w:val="1A1A1A"/>
          <w:sz w:val="20"/>
          <w:szCs w:val="20"/>
        </w:rPr>
        <w:t xml:space="preserve">Medication is administered during breakfast, lunch and tea — the three busiest periods of the day. Individual behaviour variance (refusal, distress, changing cognitive state) adds unpredictability. A single medication error triggers mandatory retraining, suspension from medication duties, and implementation of dual-witness protocols — creating significant downstream cost and operational disruption.</w:t>
      </w:r>
    </w:p>
    <w:p>
      <w:pPr>
        <w:spacing w:after="120" w:before="0"/>
      </w:pPr>
      <w:r>
        <w:rPr>
          <w:rFonts w:ascii="Arial" w:cs="Arial" w:eastAsia="Arial" w:hAnsi="Arial"/>
          <w:color w:val="1A1A1A"/>
          <w:sz w:val="20"/>
          <w:szCs w:val="20"/>
        </w:rPr>
        <w:t xml:space="preserve"/>
      </w:r>
    </w:p>
    <w:p>
      <w:pPr>
        <w:pStyle w:val="ListParagraph"/>
        <w:numPr>
          <w:ilvl w:val="0"/>
          <w:numId w:val="2"/>
        </w:numPr>
        <w:spacing w:after="80" w:before="0"/>
      </w:pPr>
      <w:r>
        <w:rPr>
          <w:rFonts w:ascii="Arial" w:cs="Arial" w:eastAsia="Arial" w:hAnsi="Arial"/>
          <w:b/>
          <w:bCs/>
          <w:sz w:val="20"/>
          <w:szCs w:val="20"/>
        </w:rPr>
        <w:t xml:space="preserve">Staff spend more time logging than with people. </w:t>
      </w:r>
      <w:r>
        <w:rPr>
          <w:rFonts w:ascii="Arial" w:cs="Arial" w:eastAsia="Arial" w:hAnsi="Arial"/>
          <w:sz w:val="20"/>
          <w:szCs w:val="20"/>
        </w:rPr>
        <w:t xml:space="preserve"/>
      </w:r>
    </w:p>
    <w:p>
      <w:pPr>
        <w:spacing w:after="120" w:before="0"/>
        <w:ind w:left="720"/>
      </w:pPr>
      <w:r>
        <w:rPr>
          <w:rFonts w:ascii="Arial" w:cs="Arial" w:eastAsia="Arial" w:hAnsi="Arial"/>
          <w:b w:val="false"/>
          <w:bCs w:val="false"/>
          <w:i w:val="false"/>
          <w:iCs w:val="false"/>
          <w:color w:val="1A1A1A"/>
          <w:sz w:val="20"/>
          <w:szCs w:val="20"/>
        </w:rPr>
        <w:t xml:space="preserve">This is the most consistent piece of feedback from operational staff and is confirmed by quantitative analysis: 40–72 hours per week across a three-shift team is lost to manual documentation. This is not a marginal inefficiency — it is a structural problem that directly reduces care quality.</w:t>
      </w:r>
    </w:p>
    <w:p>
      <w:pPr>
        <w:spacing w:after="120" w:before="0"/>
      </w:pPr>
      <w:r>
        <w:rPr>
          <w:rFonts w:ascii="Arial" w:cs="Arial" w:eastAsia="Arial" w:hAnsi="Arial"/>
          <w:color w:val="1A1A1A"/>
          <w:sz w:val="20"/>
          <w:szCs w:val="20"/>
        </w:rPr>
        <w:t xml:space="preserve"/>
      </w:r>
    </w:p>
    <w:p>
      <w:pPr>
        <w:pStyle w:val="ListParagraph"/>
        <w:numPr>
          <w:ilvl w:val="0"/>
          <w:numId w:val="2"/>
        </w:numPr>
        <w:spacing w:after="80" w:before="0"/>
      </w:pPr>
      <w:r>
        <w:rPr>
          <w:rFonts w:ascii="Arial" w:cs="Arial" w:eastAsia="Arial" w:hAnsi="Arial"/>
          <w:b/>
          <w:bCs/>
          <w:sz w:val="20"/>
          <w:szCs w:val="20"/>
        </w:rPr>
        <w:t xml:space="preserve">Early deterioration is detected informally. </w:t>
      </w:r>
      <w:r>
        <w:rPr>
          <w:rFonts w:ascii="Arial" w:cs="Arial" w:eastAsia="Arial" w:hAnsi="Arial"/>
          <w:sz w:val="20"/>
          <w:szCs w:val="20"/>
        </w:rPr>
        <w:t xml:space="preserve"/>
      </w:r>
    </w:p>
    <w:p>
      <w:pPr>
        <w:spacing w:after="120" w:before="0"/>
        <w:ind w:left="720"/>
      </w:pPr>
      <w:r>
        <w:rPr>
          <w:rFonts w:ascii="Arial" w:cs="Arial" w:eastAsia="Arial" w:hAnsi="Arial"/>
          <w:b w:val="false"/>
          <w:bCs w:val="false"/>
          <w:i w:val="false"/>
          <w:iCs w:val="false"/>
          <w:color w:val="1A1A1A"/>
          <w:sz w:val="20"/>
          <w:szCs w:val="20"/>
        </w:rPr>
        <w:t xml:space="preserve">Experienced staff recognise changes in behaviour — 'they seem quiet', 'they have a headache' — and share these observations verbally across shifts. This knowledge is unstructured, inconsistent, and lost between shift changes. By the time deterioration is formally logged, intervention is often reactive rather than preventive.</w:t>
      </w:r>
    </w:p>
    <w:p>
      <w:pPr>
        <w:spacing w:after="120" w:before="0"/>
      </w:pPr>
      <w:r>
        <w:rPr>
          <w:rFonts w:ascii="Arial" w:cs="Arial" w:eastAsia="Arial" w:hAnsi="Arial"/>
          <w:color w:val="1A1A1A"/>
          <w:sz w:val="20"/>
          <w:szCs w:val="20"/>
        </w:rPr>
        <w:t xml:space="preserve"/>
      </w:r>
    </w:p>
    <w:p>
      <w:r>
        <w:br w:type="page"/>
      </w:r>
    </w:p>
    <w:p>
      <w:pPr>
        <w:pStyle w:val="Heading1"/>
        <w:spacing w:after="160" w:before="320"/>
      </w:pPr>
      <w:r>
        <w:rPr>
          <w:rFonts w:ascii="Arial" w:cs="Arial" w:eastAsia="Arial" w:hAnsi="Arial"/>
          <w:b/>
          <w:bCs/>
          <w:color w:val="0D1B2A"/>
          <w:sz w:val="32"/>
          <w:szCs w:val="32"/>
        </w:rPr>
        <w:t xml:space="preserve">2. AI Automation Opportunities</w:t>
      </w:r>
    </w:p>
    <w:p>
      <w:pPr>
        <w:pBdr>
          <w:bottom w:val="single" w:color="3D7ABF" w:sz="4" w:space="1"/>
        </w:pBdr>
        <w:spacing w:after="160" w:before="160"/>
      </w:pPr>
    </w:p>
    <w:p>
      <w:pPr>
        <w:pStyle w:val="Heading2"/>
        <w:spacing w:after="120" w:before="240"/>
      </w:pPr>
      <w:r>
        <w:rPr>
          <w:rFonts w:ascii="Arial" w:cs="Arial" w:eastAsia="Arial" w:hAnsi="Arial"/>
          <w:b/>
          <w:bCs/>
          <w:color w:val="3D7ABF"/>
          <w:sz w:val="24"/>
          <w:szCs w:val="24"/>
        </w:rPr>
        <w:t xml:space="preserve">Opportunity 1: Voice-to-Text Care Logging  ⬤ Priority 1</w:t>
      </w:r>
    </w:p>
    <w:p>
      <w:pPr>
        <w:spacing w:after="120" w:before="0"/>
      </w:pPr>
      <w:r>
        <w:rPr>
          <w:rFonts w:ascii="Arial" w:cs="Arial" w:eastAsia="Arial" w:hAnsi="Arial"/>
          <w:b/>
          <w:bCs/>
          <w:i w:val="false"/>
          <w:iCs w:val="false"/>
          <w:color w:val="1A1A1A"/>
          <w:sz w:val="20"/>
          <w:szCs w:val="20"/>
        </w:rPr>
        <w:t xml:space="preserve">Problem: </w:t>
      </w:r>
      <w:r>
        <w:rPr>
          <w:rFonts w:ascii="Arial" w:cs="Arial" w:eastAsia="Arial" w:hAnsi="Arial"/>
          <w:b w:val="false"/>
          <w:bCs w:val="false"/>
          <w:i w:val="false"/>
          <w:iCs w:val="false"/>
          <w:color w:val="1A1A1A"/>
          <w:sz w:val="20"/>
          <w:szCs w:val="20"/>
        </w:rPr>
        <w:t xml:space="preserve">5–15 minutes of manual device logging required every hour, across every shift. Staff navigate multiple log categories (mood, health, activity, fluid, appearance) while simultaneously providing care.</w:t>
      </w:r>
    </w:p>
    <w:p>
      <w:pPr>
        <w:spacing w:after="120" w:before="0"/>
      </w:pPr>
      <w:r>
        <w:rPr>
          <w:rFonts w:ascii="Arial" w:cs="Arial" w:eastAsia="Arial" w:hAnsi="Arial"/>
          <w:b/>
          <w:bCs/>
          <w:i w:val="false"/>
          <w:iCs w:val="false"/>
          <w:color w:val="1A1A1A"/>
          <w:sz w:val="20"/>
          <w:szCs w:val="20"/>
        </w:rPr>
        <w:t xml:space="preserve">Solution: </w:t>
      </w:r>
      <w:r>
        <w:rPr>
          <w:rFonts w:ascii="Arial" w:cs="Arial" w:eastAsia="Arial" w:hAnsi="Arial"/>
          <w:b w:val="false"/>
          <w:bCs w:val="false"/>
          <w:i w:val="false"/>
          <w:iCs w:val="false"/>
          <w:color w:val="1A1A1A"/>
          <w:sz w:val="20"/>
          <w:szCs w:val="20"/>
        </w:rPr>
        <w:t xml:space="preserve">Voice-activated logging. Staff speak observations naturally during or immediately after care tasks. AI transcribes, structures, and populates the correct log category automatically. Human staff review and confirm before the log is finalised.</w:t>
      </w:r>
    </w:p>
    <w:p>
      <w:pPr>
        <w:spacing w:after="120" w:before="0"/>
      </w:pPr>
      <w:r>
        <w:rPr>
          <w:rFonts w:ascii="Arial" w:cs="Arial" w:eastAsia="Arial" w:hAnsi="Arial"/>
          <w:b/>
          <w:bCs/>
          <w:i w:val="false"/>
          <w:iCs w:val="false"/>
          <w:color w:val="5B2D8E"/>
          <w:sz w:val="20"/>
          <w:szCs w:val="20"/>
        </w:rPr>
        <w:t xml:space="preserve">Research basis: </w:t>
      </w:r>
      <w:r>
        <w:rPr>
          <w:rFonts w:ascii="Arial" w:cs="Arial" w:eastAsia="Arial" w:hAnsi="Arial"/>
          <w:b w:val="false"/>
          <w:bCs w:val="false"/>
          <w:i w:val="false"/>
          <w:iCs w:val="false"/>
          <w:color w:val="5B2D8E"/>
          <w:sz w:val="20"/>
          <w:szCs w:val="20"/>
        </w:rPr>
        <w:t xml:space="preserve">NLP speech-to-text with SHAP-driven structured output. SHAP stability of 0.9934 (dissertation finding) ensures consistent feature attribution — every auto-populated field is traceable to the specific speech input that generated it, providing a CQC-auditable evidence chain.</w:t>
      </w:r>
    </w:p>
    <w:p>
      <w:pPr>
        <w:spacing w:after="120" w:before="0"/>
      </w:pPr>
      <w:r>
        <w:rPr>
          <w:rFonts w:ascii="Arial" w:cs="Arial" w:eastAsia="Arial" w:hAnsi="Arial"/>
          <w:b/>
          <w:bCs/>
          <w:i w:val="false"/>
          <w:iCs w:val="false"/>
          <w:color w:val="1A1A1A"/>
          <w:sz w:val="20"/>
          <w:szCs w:val="20"/>
        </w:rPr>
        <w:t xml:space="preserve">Estimated impact: </w:t>
      </w:r>
      <w:r>
        <w:rPr>
          <w:rFonts w:ascii="Arial" w:cs="Arial" w:eastAsia="Arial" w:hAnsi="Arial"/>
          <w:b w:val="false"/>
          <w:bCs w:val="false"/>
          <w:i w:val="false"/>
          <w:iCs w:val="false"/>
          <w:color w:val="1A1A1A"/>
          <w:sz w:val="20"/>
          <w:szCs w:val="20"/>
        </w:rPr>
        <w:t xml:space="preserve">Reduce logging time from 5–15 min/hour to ~1–2 min/hour. Save 30–60 hours per week across the team. Annual labour saving: £18,720–£46,800 per home.</w:t>
      </w:r>
    </w:p>
    <w:p>
      <w:pPr>
        <w:spacing w:after="120" w:before="0"/>
      </w:pPr>
      <w:r>
        <w:rPr>
          <w:rFonts w:ascii="Arial" w:cs="Arial" w:eastAsia="Arial" w:hAnsi="Arial"/>
          <w:color w:val="1A1A1A"/>
          <w:sz w:val="20"/>
          <w:szCs w:val="20"/>
        </w:rPr>
        <w:t xml:space="preserve"/>
      </w:r>
    </w:p>
    <w:p>
      <w:pPr>
        <w:pStyle w:val="Heading2"/>
        <w:spacing w:after="120" w:before="240"/>
      </w:pPr>
      <w:r>
        <w:rPr>
          <w:rFonts w:ascii="Arial" w:cs="Arial" w:eastAsia="Arial" w:hAnsi="Arial"/>
          <w:b/>
          <w:bCs/>
          <w:color w:val="3D7ABF"/>
          <w:sz w:val="24"/>
          <w:szCs w:val="24"/>
        </w:rPr>
        <w:t xml:space="preserve">Opportunity 2: Medication Error Prevention  ⬤ Priority 1</w:t>
      </w:r>
    </w:p>
    <w:p>
      <w:pPr>
        <w:spacing w:after="120" w:before="0"/>
      </w:pPr>
      <w:r>
        <w:rPr>
          <w:rFonts w:ascii="Arial" w:cs="Arial" w:eastAsia="Arial" w:hAnsi="Arial"/>
          <w:b/>
          <w:bCs/>
          <w:i w:val="false"/>
          <w:iCs w:val="false"/>
          <w:color w:val="1A1A1A"/>
          <w:sz w:val="20"/>
          <w:szCs w:val="20"/>
        </w:rPr>
        <w:t xml:space="preserve">Problem: </w:t>
      </w:r>
      <w:r>
        <w:rPr>
          <w:rFonts w:ascii="Arial" w:cs="Arial" w:eastAsia="Arial" w:hAnsi="Arial"/>
          <w:b w:val="false"/>
          <w:bCs w:val="false"/>
          <w:i w:val="false"/>
          <w:iCs w:val="false"/>
          <w:color w:val="1A1A1A"/>
          <w:sz w:val="20"/>
          <w:szCs w:val="20"/>
        </w:rPr>
        <w:t xml:space="preserve">Medication Administration Records (MAR) are the most error-prone documentation in the care workflow. Errors occur during peak busyness and trigger costly escalation chains.</w:t>
      </w:r>
    </w:p>
    <w:p>
      <w:pPr>
        <w:spacing w:after="120" w:before="0"/>
      </w:pPr>
      <w:r>
        <w:rPr>
          <w:rFonts w:ascii="Arial" w:cs="Arial" w:eastAsia="Arial" w:hAnsi="Arial"/>
          <w:b/>
          <w:bCs/>
          <w:i w:val="false"/>
          <w:iCs w:val="false"/>
          <w:color w:val="1A1A1A"/>
          <w:sz w:val="20"/>
          <w:szCs w:val="20"/>
        </w:rPr>
        <w:t xml:space="preserve">Solution: </w:t>
      </w:r>
      <w:r>
        <w:rPr>
          <w:rFonts w:ascii="Arial" w:cs="Arial" w:eastAsia="Arial" w:hAnsi="Arial"/>
          <w:b w:val="false"/>
          <w:bCs w:val="false"/>
          <w:i w:val="false"/>
          <w:iCs w:val="false"/>
          <w:color w:val="1A1A1A"/>
          <w:sz w:val="20"/>
          <w:szCs w:val="20"/>
        </w:rPr>
        <w:t xml:space="preserve">AI-powered pre-administration verification and real-time MAR completeness checking. AI cross-references the prescription against individual care plan directives (GP, pharmacist, SALT) before administration. Incomplete MAR entries are flagged before shift end. Refusal patterns are tracked for clinical follow-up. The existing dual-witness human protocol is unchanged — AI adds a verification layer, not a replacement.</w:t>
      </w:r>
    </w:p>
    <w:p>
      <w:pPr>
        <w:spacing w:after="120" w:before="0"/>
      </w:pPr>
      <w:r>
        <w:rPr>
          <w:rFonts w:ascii="Arial" w:cs="Arial" w:eastAsia="Arial" w:hAnsi="Arial"/>
          <w:b/>
          <w:bCs/>
          <w:i w:val="false"/>
          <w:iCs w:val="false"/>
          <w:color w:val="5B2D8E"/>
          <w:sz w:val="20"/>
          <w:szCs w:val="20"/>
        </w:rPr>
        <w:t xml:space="preserve">Research basis: </w:t>
      </w:r>
      <w:r>
        <w:rPr>
          <w:rFonts w:ascii="Arial" w:cs="Arial" w:eastAsia="Arial" w:hAnsi="Arial"/>
          <w:b w:val="false"/>
          <w:bCs w:val="false"/>
          <w:i w:val="false"/>
          <w:iCs w:val="false"/>
          <w:color w:val="5B2D8E"/>
          <w:sz w:val="20"/>
          <w:szCs w:val="20"/>
        </w:rPr>
        <w:t xml:space="preserve">LogAE anomaly detection mechanism from dissertation applied to MAR completion patterns. The model learns 'normal' medication administration sequences for each individual. Deviations — missed entries, unusual timing, persistent refusal — are flagged as anomalies. This is the same mechanism that achieved 0.95 F1-Score detecting DoS attacks, applied to medication data. Robustness testing showed F1 maintained above 0.90 under 30% feature corruption — meaning the model works even with incomplete records.</w:t>
      </w:r>
    </w:p>
    <w:p>
      <w:pPr>
        <w:spacing w:after="120" w:before="0"/>
      </w:pPr>
      <w:r>
        <w:rPr>
          <w:rFonts w:ascii="Arial" w:cs="Arial" w:eastAsia="Arial" w:hAnsi="Arial"/>
          <w:b/>
          <w:bCs/>
          <w:i w:val="false"/>
          <w:iCs w:val="false"/>
          <w:color w:val="1A1A1A"/>
          <w:sz w:val="20"/>
          <w:szCs w:val="20"/>
        </w:rPr>
        <w:t xml:space="preserve">Estimated impact: </w:t>
      </w:r>
      <w:r>
        <w:rPr>
          <w:rFonts w:ascii="Arial" w:cs="Arial" w:eastAsia="Arial" w:hAnsi="Arial"/>
          <w:b w:val="false"/>
          <w:bCs w:val="false"/>
          <w:i w:val="false"/>
          <w:iCs w:val="false"/>
          <w:color w:val="1A1A1A"/>
          <w:sz w:val="20"/>
          <w:szCs w:val="20"/>
        </w:rPr>
        <w:t xml:space="preserve">60–80% reduction in medication errors. Elimination of the error-response chain (retraining, supervision overhead, regulatory risk). Conservative ROI: &gt;10:1 against implementation cost.</w:t>
      </w:r>
    </w:p>
    <w:p>
      <w:pPr>
        <w:spacing w:after="120" w:before="0"/>
      </w:pPr>
      <w:r>
        <w:rPr>
          <w:rFonts w:ascii="Arial" w:cs="Arial" w:eastAsia="Arial" w:hAnsi="Arial"/>
          <w:color w:val="1A1A1A"/>
          <w:sz w:val="20"/>
          <w:szCs w:val="20"/>
        </w:rPr>
        <w:t xml:space="preserve"/>
      </w:r>
    </w:p>
    <w:p>
      <w:pPr>
        <w:pStyle w:val="Heading2"/>
        <w:spacing w:after="120" w:before="240"/>
      </w:pPr>
      <w:r>
        <w:rPr>
          <w:rFonts w:ascii="Arial" w:cs="Arial" w:eastAsia="Arial" w:hAnsi="Arial"/>
          <w:b/>
          <w:bCs/>
          <w:color w:val="3D7ABF"/>
          <w:sz w:val="24"/>
          <w:szCs w:val="24"/>
        </w:rPr>
        <w:t xml:space="preserve">Opportunity 3: Early Health Deterioration Detection  ⬤ Priority 2</w:t>
      </w:r>
    </w:p>
    <w:p>
      <w:pPr>
        <w:spacing w:after="120" w:before="0"/>
      </w:pPr>
      <w:r>
        <w:rPr>
          <w:rFonts w:ascii="Arial" w:cs="Arial" w:eastAsia="Arial" w:hAnsi="Arial"/>
          <w:b/>
          <w:bCs/>
          <w:i w:val="false"/>
          <w:iCs w:val="false"/>
          <w:color w:val="1A1A1A"/>
          <w:sz w:val="20"/>
          <w:szCs w:val="20"/>
        </w:rPr>
        <w:t xml:space="preserve">Problem: </w:t>
      </w:r>
      <w:r>
        <w:rPr>
          <w:rFonts w:ascii="Arial" w:cs="Arial" w:eastAsia="Arial" w:hAnsi="Arial"/>
          <w:b w:val="false"/>
          <w:bCs w:val="false"/>
          <w:i w:val="false"/>
          <w:iCs w:val="false"/>
          <w:color w:val="1A1A1A"/>
          <w:sz w:val="20"/>
          <w:szCs w:val="20"/>
        </w:rPr>
        <w:t xml:space="preserve">Health deterioration is currently detected through informal staff pattern recognition — verbal, unstructured, and lost between shift changes. Intervention is reactive. The knowledge that experienced staff carry in their heads cannot scale.</w:t>
      </w:r>
    </w:p>
    <w:p>
      <w:pPr>
        <w:spacing w:after="120" w:before="0"/>
      </w:pPr>
      <w:r>
        <w:rPr>
          <w:rFonts w:ascii="Arial" w:cs="Arial" w:eastAsia="Arial" w:hAnsi="Arial"/>
          <w:b/>
          <w:bCs/>
          <w:i w:val="false"/>
          <w:iCs w:val="false"/>
          <w:color w:val="1A1A1A"/>
          <w:sz w:val="20"/>
          <w:szCs w:val="20"/>
        </w:rPr>
        <w:t xml:space="preserve">Solution: </w:t>
      </w:r>
      <w:r>
        <w:rPr>
          <w:rFonts w:ascii="Arial" w:cs="Arial" w:eastAsia="Arial" w:hAnsi="Arial"/>
          <w:b w:val="false"/>
          <w:bCs w:val="false"/>
          <w:i w:val="false"/>
          <w:iCs w:val="false"/>
          <w:color w:val="1A1A1A"/>
          <w:sz w:val="20"/>
          <w:szCs w:val="20"/>
        </w:rPr>
        <w:t xml:space="preserve">Baseline behavioural model per service user. AI learns each individual's normal pattern across mood, health, activity, fluid and sleep logs. Deviations from this personal baseline trigger an early advisory alert to senior staff — before clinical deterioration becomes acute. Examples: three consecutive below-average fluid intake readings; unusual quietness logged across two shifts; deviation from typical activity engagement.</w:t>
      </w:r>
    </w:p>
    <w:p>
      <w:pPr>
        <w:spacing w:after="120" w:before="0"/>
      </w:pPr>
      <w:r>
        <w:rPr>
          <w:rFonts w:ascii="Arial" w:cs="Arial" w:eastAsia="Arial" w:hAnsi="Arial"/>
          <w:b/>
          <w:bCs/>
          <w:i w:val="false"/>
          <w:iCs w:val="false"/>
          <w:color w:val="5B2D8E"/>
          <w:sz w:val="20"/>
          <w:szCs w:val="20"/>
        </w:rPr>
        <w:t xml:space="preserve">Research basis: </w:t>
      </w:r>
      <w:r>
        <w:rPr>
          <w:rFonts w:ascii="Arial" w:cs="Arial" w:eastAsia="Arial" w:hAnsi="Arial"/>
          <w:b w:val="false"/>
          <w:bCs w:val="false"/>
          <w:i w:val="false"/>
          <w:iCs w:val="false"/>
          <w:color w:val="5B2D8E"/>
          <w:sz w:val="20"/>
          <w:szCs w:val="20"/>
        </w:rPr>
        <w:t xml:space="preserve">This is the most direct application of the dissertation architecture. LogAE is trained on normal service user data and flags high reconstruction error as anomaly — identical mechanism to DoS detection. The model achieved 0.95 Accuracy, 0.95 F1-Score, and 0.99 AUC on the UNSW-NB15 dataset. SHAP identifies which specific features drove each alert — telling staff exactly what changed. The federated architecture means each service user's health data never leaves their home's local server, satisfying GDPR special category data obligations.</w:t>
      </w:r>
    </w:p>
    <w:p>
      <w:pPr>
        <w:spacing w:after="120" w:before="0"/>
      </w:pPr>
      <w:r>
        <w:rPr>
          <w:rFonts w:ascii="Arial" w:cs="Arial" w:eastAsia="Arial" w:hAnsi="Arial"/>
          <w:b/>
          <w:bCs/>
          <w:i w:val="false"/>
          <w:iCs w:val="false"/>
          <w:color w:val="1A1A1A"/>
          <w:sz w:val="20"/>
          <w:szCs w:val="20"/>
        </w:rPr>
        <w:t xml:space="preserve">Estimated impact: </w:t>
      </w:r>
      <w:r>
        <w:rPr>
          <w:rFonts w:ascii="Arial" w:cs="Arial" w:eastAsia="Arial" w:hAnsi="Arial"/>
          <w:b w:val="false"/>
          <w:bCs w:val="false"/>
          <w:i w:val="false"/>
          <w:iCs w:val="false"/>
          <w:color w:val="1A1A1A"/>
          <w:sz w:val="20"/>
          <w:szCs w:val="20"/>
        </w:rPr>
        <w:t xml:space="preserve">40–60% earlier clinical intervention. Estimated reduction in emergency hospital admissions: 2–3 per month per home. NHS emergency admission cost: ~£2,500+. Potential system saving: £5,000–£7,500 per month per home.</w:t>
      </w:r>
    </w:p>
    <w:p>
      <w:pPr>
        <w:spacing w:after="120" w:before="0"/>
      </w:pPr>
      <w:r>
        <w:rPr>
          <w:rFonts w:ascii="Arial" w:cs="Arial" w:eastAsia="Arial" w:hAnsi="Arial"/>
          <w:color w:val="1A1A1A"/>
          <w:sz w:val="20"/>
          <w:szCs w:val="20"/>
        </w:rPr>
        <w:t xml:space="preserve"/>
      </w:r>
    </w:p>
    <w:p>
      <w:pPr>
        <w:pStyle w:val="Heading2"/>
        <w:spacing w:after="120" w:before="240"/>
      </w:pPr>
      <w:r>
        <w:rPr>
          <w:rFonts w:ascii="Arial" w:cs="Arial" w:eastAsia="Arial" w:hAnsi="Arial"/>
          <w:b/>
          <w:bCs/>
          <w:color w:val="3D7ABF"/>
          <w:sz w:val="24"/>
          <w:szCs w:val="24"/>
        </w:rPr>
        <w:t xml:space="preserve">Opportunity 4: AI-Assisted Handover Summaries  ⬤ Good Pilot</w:t>
      </w:r>
    </w:p>
    <w:p>
      <w:pPr>
        <w:spacing w:after="120" w:before="0"/>
      </w:pPr>
      <w:r>
        <w:rPr>
          <w:rFonts w:ascii="Arial" w:cs="Arial" w:eastAsia="Arial" w:hAnsi="Arial"/>
          <w:b/>
          <w:bCs/>
          <w:i w:val="false"/>
          <w:iCs w:val="false"/>
          <w:color w:val="1A1A1A"/>
          <w:sz w:val="20"/>
          <w:szCs w:val="20"/>
        </w:rPr>
        <w:t xml:space="preserve">Problem: </w:t>
      </w:r>
      <w:r>
        <w:rPr>
          <w:rFonts w:ascii="Arial" w:cs="Arial" w:eastAsia="Arial" w:hAnsi="Arial"/>
          <w:b w:val="false"/>
          <w:bCs w:val="false"/>
          <w:i w:val="false"/>
          <w:iCs w:val="false"/>
          <w:color w:val="1A1A1A"/>
          <w:sz w:val="20"/>
          <w:szCs w:val="20"/>
        </w:rPr>
        <w:t xml:space="preserve">End-of-shift handover notes are prepared under time pressure, vary in quality between staff members, and create information gaps that compound across shifts. Critical health observations can be missed.</w:t>
      </w:r>
    </w:p>
    <w:p>
      <w:pPr>
        <w:spacing w:after="120" w:before="0"/>
      </w:pPr>
      <w:r>
        <w:rPr>
          <w:rFonts w:ascii="Arial" w:cs="Arial" w:eastAsia="Arial" w:hAnsi="Arial"/>
          <w:b/>
          <w:bCs/>
          <w:i w:val="false"/>
          <w:iCs w:val="false"/>
          <w:color w:val="1A1A1A"/>
          <w:sz w:val="20"/>
          <w:szCs w:val="20"/>
        </w:rPr>
        <w:t xml:space="preserve">Solution: </w:t>
      </w:r>
      <w:r>
        <w:rPr>
          <w:rFonts w:ascii="Arial" w:cs="Arial" w:eastAsia="Arial" w:hAnsi="Arial"/>
          <w:b w:val="false"/>
          <w:bCs w:val="false"/>
          <w:i w:val="false"/>
          <w:iCs w:val="false"/>
          <w:color w:val="1A1A1A"/>
          <w:sz w:val="20"/>
          <w:szCs w:val="20"/>
        </w:rPr>
        <w:t xml:space="preserve">At shift end, AI compiles all completed logs into a structured handover template. SHAP-driven feature importance surfaces the most clinically significant entries automatically. Staff review, edit and sign off before passing to incoming shift. Standardised structure every shift, regardless of who is working.</w:t>
      </w:r>
    </w:p>
    <w:p>
      <w:pPr>
        <w:spacing w:after="120" w:before="0"/>
      </w:pPr>
      <w:r>
        <w:rPr>
          <w:rFonts w:ascii="Arial" w:cs="Arial" w:eastAsia="Arial" w:hAnsi="Arial"/>
          <w:b/>
          <w:bCs/>
          <w:i w:val="false"/>
          <w:iCs w:val="false"/>
          <w:color w:val="5B2D8E"/>
          <w:sz w:val="20"/>
          <w:szCs w:val="20"/>
        </w:rPr>
        <w:t xml:space="preserve">Research basis: </w:t>
      </w:r>
      <w:r>
        <w:rPr>
          <w:rFonts w:ascii="Arial" w:cs="Arial" w:eastAsia="Arial" w:hAnsi="Arial"/>
          <w:b w:val="false"/>
          <w:bCs w:val="false"/>
          <w:i w:val="false"/>
          <w:iCs w:val="false"/>
          <w:color w:val="5B2D8E"/>
          <w:sz w:val="20"/>
          <w:szCs w:val="20"/>
        </w:rPr>
        <w:t xml:space="preserve">NLP summarisation with SHAP-prioritised content selection. Lowest technical complexity of the four opportunities. Best first pilot for staff AI adoption — low stakes, immediately visible time saving, builds trust before higher-risk applications are introduced.</w:t>
      </w:r>
    </w:p>
    <w:p>
      <w:pPr>
        <w:spacing w:after="120" w:before="0"/>
      </w:pPr>
      <w:r>
        <w:rPr>
          <w:rFonts w:ascii="Arial" w:cs="Arial" w:eastAsia="Arial" w:hAnsi="Arial"/>
          <w:b/>
          <w:bCs/>
          <w:i w:val="false"/>
          <w:iCs w:val="false"/>
          <w:color w:val="1A1A1A"/>
          <w:sz w:val="20"/>
          <w:szCs w:val="20"/>
        </w:rPr>
        <w:t xml:space="preserve">Estimated impact: </w:t>
      </w:r>
      <w:r>
        <w:rPr>
          <w:rFonts w:ascii="Arial" w:cs="Arial" w:eastAsia="Arial" w:hAnsi="Arial"/>
          <w:b w:val="false"/>
          <w:bCs w:val="false"/>
          <w:i w:val="false"/>
          <w:iCs w:val="false"/>
          <w:color w:val="1A1A1A"/>
          <w:sz w:val="20"/>
          <w:szCs w:val="20"/>
        </w:rPr>
        <w:t xml:space="preserve">Reduce handover preparation from 15–30 min to ~5 min. Save 10–20 hours per week. Annual saving: £6,240–£15,600 per home. Elimination of shift-change information gaps.</w:t>
      </w:r>
    </w:p>
    <w:p>
      <w:pPr>
        <w:spacing w:after="120" w:before="0"/>
      </w:pPr>
      <w:r>
        <w:rPr>
          <w:rFonts w:ascii="Arial" w:cs="Arial" w:eastAsia="Arial" w:hAnsi="Arial"/>
          <w:color w:val="1A1A1A"/>
          <w:sz w:val="20"/>
          <w:szCs w:val="20"/>
        </w:rPr>
        <w:t xml:space="preserve"/>
      </w:r>
    </w:p>
    <w:p>
      <w:r>
        <w:br w:type="page"/>
      </w:r>
    </w:p>
    <w:p>
      <w:pPr>
        <w:pStyle w:val="Heading1"/>
        <w:spacing w:after="160" w:before="320"/>
      </w:pPr>
      <w:r>
        <w:rPr>
          <w:rFonts w:ascii="Arial" w:cs="Arial" w:eastAsia="Arial" w:hAnsi="Arial"/>
          <w:b/>
          <w:bCs/>
          <w:color w:val="0D1B2A"/>
          <w:sz w:val="32"/>
          <w:szCs w:val="32"/>
        </w:rPr>
        <w:t xml:space="preserve">3. Return on Investment Summary</w:t>
      </w:r>
    </w:p>
    <w:p>
      <w:pPr>
        <w:pBdr>
          <w:bottom w:val="single" w:color="3D7ABF" w:sz="4" w:space="1"/>
        </w:pBd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600"/>
        <w:gridCol w:w="1426"/>
      </w:tblGrid>
      <w:tr>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Opportunity</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 Saved / Week</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Annual Labour Saving</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Error / Risk Reduction</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Borders>
              <w:top w:val="single" w:color="E0DBD0" w:sz="1"/>
              <w:left w:val="single" w:color="E0DBD0" w:sz="1"/>
              <w:bottom w:val="single" w:color="E0DBD0" w:sz="1"/>
              <w:right w:val="single" w:color="E0DBD0" w:sz="1"/>
            </w:tcBorders>
            <w:shd w:fill="FDEAEA" w:val="clear"/>
            <w:tcMar>
              <w:top w:type="dxa" w:w="80"/>
              <w:left w:type="dxa" w:w="120"/>
              <w:bottom w:type="dxa" w:w="80"/>
              <w:right w:type="dxa" w:w="120"/>
            </w:tcMar>
            <w:vAlign w:val="center"/>
          </w:tcPr>
          <w:p>
            <w:pPr>
              <w:jc w:val="left"/>
            </w:pPr>
            <w:r>
              <w:rPr>
                <w:rFonts w:ascii="Arial" w:cs="Arial" w:eastAsia="Arial" w:hAnsi="Arial"/>
                <w:b/>
                <w:bCs/>
                <w:i w:val="false"/>
                <w:iCs w:val="false"/>
                <w:color w:val="9A1C1C"/>
                <w:sz w:val="18"/>
                <w:szCs w:val="18"/>
              </w:rPr>
              <w:t xml:space="preserve">Voice-to-Text Care Logging</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30–60 hrs</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£18,720–£46,800 per home</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Eliminates manual transcription errors</w:t>
            </w:r>
          </w:p>
        </w:tc>
        <w:tc>
          <w:tcPr>
            <w:tcBorders>
              <w:top w:val="single" w:color="E0DBD0" w:sz="1"/>
              <w:left w:val="single" w:color="E0DBD0" w:sz="1"/>
              <w:bottom w:val="single" w:color="E0DBD0" w:sz="1"/>
              <w:right w:val="single" w:color="E0DBD0" w:sz="1"/>
            </w:tcBorders>
            <w:shd w:fill="FDEAEA" w:val="clear"/>
            <w:tcMar>
              <w:top w:type="dxa" w:w="80"/>
              <w:left w:type="dxa" w:w="120"/>
              <w:bottom w:type="dxa" w:w="80"/>
              <w:right w:type="dxa" w:w="120"/>
            </w:tcMar>
            <w:vAlign w:val="center"/>
          </w:tcPr>
          <w:p>
            <w:pPr>
              <w:jc w:val="center"/>
            </w:pPr>
            <w:r>
              <w:rPr>
                <w:rFonts w:ascii="Arial" w:cs="Arial" w:eastAsia="Arial" w:hAnsi="Arial"/>
                <w:b/>
                <w:bCs/>
                <w:i w:val="false"/>
                <w:iCs w:val="false"/>
                <w:color w:val="9A1C1C"/>
                <w:sz w:val="18"/>
                <w:szCs w:val="18"/>
              </w:rPr>
              <w:t xml:space="preserve">1 — Implement First</w:t>
            </w:r>
          </w:p>
        </w:tc>
      </w:tr>
      <w:tr>
        <w:tc>
          <w:tcPr>
            <w:tcBorders>
              <w:top w:val="single" w:color="E0DBD0" w:sz="1"/>
              <w:left w:val="single" w:color="E0DBD0" w:sz="1"/>
              <w:bottom w:val="single" w:color="E0DBD0" w:sz="1"/>
              <w:right w:val="single" w:color="E0DBD0" w:sz="1"/>
            </w:tcBorders>
            <w:shd w:fill="FDEAEA" w:val="clear"/>
            <w:tcMar>
              <w:top w:type="dxa" w:w="80"/>
              <w:left w:type="dxa" w:w="120"/>
              <w:bottom w:type="dxa" w:w="80"/>
              <w:right w:type="dxa" w:w="120"/>
            </w:tcMar>
            <w:vAlign w:val="center"/>
          </w:tcPr>
          <w:p>
            <w:pPr>
              <w:jc w:val="left"/>
            </w:pPr>
            <w:r>
              <w:rPr>
                <w:rFonts w:ascii="Arial" w:cs="Arial" w:eastAsia="Arial" w:hAnsi="Arial"/>
                <w:b/>
                <w:bCs/>
                <w:i w:val="false"/>
                <w:iCs w:val="false"/>
                <w:color w:val="9A1C1C"/>
                <w:sz w:val="18"/>
                <w:szCs w:val="18"/>
              </w:rPr>
              <w:t xml:space="preserve">Medication Error Prevention</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2–4 hrs (senior staff)</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£10,400+ in error-response costs avoided</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60–80% reduction in MAR errors</w:t>
            </w:r>
          </w:p>
        </w:tc>
        <w:tc>
          <w:tcPr>
            <w:tcBorders>
              <w:top w:val="single" w:color="E0DBD0" w:sz="1"/>
              <w:left w:val="single" w:color="E0DBD0" w:sz="1"/>
              <w:bottom w:val="single" w:color="E0DBD0" w:sz="1"/>
              <w:right w:val="single" w:color="E0DBD0" w:sz="1"/>
            </w:tcBorders>
            <w:shd w:fill="FDEAEA" w:val="clear"/>
            <w:tcMar>
              <w:top w:type="dxa" w:w="80"/>
              <w:left w:type="dxa" w:w="120"/>
              <w:bottom w:type="dxa" w:w="80"/>
              <w:right w:type="dxa" w:w="120"/>
            </w:tcMar>
            <w:vAlign w:val="center"/>
          </w:tcPr>
          <w:p>
            <w:pPr>
              <w:jc w:val="center"/>
            </w:pPr>
            <w:r>
              <w:rPr>
                <w:rFonts w:ascii="Arial" w:cs="Arial" w:eastAsia="Arial" w:hAnsi="Arial"/>
                <w:b/>
                <w:bCs/>
                <w:i w:val="false"/>
                <w:iCs w:val="false"/>
                <w:color w:val="9A1C1C"/>
                <w:sz w:val="18"/>
                <w:szCs w:val="18"/>
              </w:rPr>
              <w:t xml:space="preserve">1 — Implement First</w:t>
            </w:r>
          </w:p>
        </w:tc>
      </w:tr>
      <w:tr>
        <w:tc>
          <w:tcPr>
            <w:tcBorders>
              <w:top w:val="single" w:color="E0DBD0" w:sz="1"/>
              <w:left w:val="single" w:color="E0DBD0" w:sz="1"/>
              <w:bottom w:val="single" w:color="E0DBD0" w:sz="1"/>
              <w:right w:val="single" w:color="E0DBD0" w:sz="1"/>
            </w:tcBorders>
            <w:shd w:fill="FFF5E0" w:val="clear"/>
            <w:tcMar>
              <w:top w:type="dxa" w:w="80"/>
              <w:left w:type="dxa" w:w="120"/>
              <w:bottom w:type="dxa" w:w="80"/>
              <w:right w:type="dxa" w:w="120"/>
            </w:tcMar>
            <w:vAlign w:val="center"/>
          </w:tcPr>
          <w:p>
            <w:pPr>
              <w:jc w:val="left"/>
            </w:pPr>
            <w:r>
              <w:rPr>
                <w:rFonts w:ascii="Arial" w:cs="Arial" w:eastAsia="Arial" w:hAnsi="Arial"/>
                <w:b/>
                <w:bCs/>
                <w:i w:val="false"/>
                <w:iCs w:val="false"/>
                <w:color w:val="8A5A00"/>
                <w:sz w:val="18"/>
                <w:szCs w:val="18"/>
              </w:rPr>
              <w:t xml:space="preserve">Early Deterioration Detection</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Preventive — not time saving</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£5,000–£7,500/month in avoided admissions</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40–60% earlier clinical intervention</w:t>
            </w:r>
          </w:p>
        </w:tc>
        <w:tc>
          <w:tcPr>
            <w:tcBorders>
              <w:top w:val="single" w:color="E0DBD0" w:sz="1"/>
              <w:left w:val="single" w:color="E0DBD0" w:sz="1"/>
              <w:bottom w:val="single" w:color="E0DBD0" w:sz="1"/>
              <w:right w:val="single" w:color="E0DBD0" w:sz="1"/>
            </w:tcBorders>
            <w:shd w:fill="FFF5E0" w:val="clear"/>
            <w:tcMar>
              <w:top w:type="dxa" w:w="80"/>
              <w:left w:type="dxa" w:w="120"/>
              <w:bottom w:type="dxa" w:w="80"/>
              <w:right w:type="dxa" w:w="120"/>
            </w:tcMar>
            <w:vAlign w:val="center"/>
          </w:tcPr>
          <w:p>
            <w:pPr>
              <w:jc w:val="center"/>
            </w:pPr>
            <w:r>
              <w:rPr>
                <w:rFonts w:ascii="Arial" w:cs="Arial" w:eastAsia="Arial" w:hAnsi="Arial"/>
                <w:b/>
                <w:bCs/>
                <w:i w:val="false"/>
                <w:iCs w:val="false"/>
                <w:color w:val="8A5A00"/>
                <w:sz w:val="18"/>
                <w:szCs w:val="18"/>
              </w:rPr>
              <w:t xml:space="preserve">2 — Phase 2</w:t>
            </w:r>
          </w:p>
        </w:tc>
      </w:tr>
      <w:tr>
        <w:tc>
          <w:tcPr>
            <w:tcBorders>
              <w:top w:val="single" w:color="E0DBD0" w:sz="1"/>
              <w:left w:val="single" w:color="E0DBD0" w:sz="1"/>
              <w:bottom w:val="single" w:color="E0DBD0" w:sz="1"/>
              <w:right w:val="single" w:color="E0DBD0" w:sz="1"/>
            </w:tcBorders>
            <w:shd w:fill="E6F4EC" w:val="clear"/>
            <w:tcMar>
              <w:top w:type="dxa" w:w="80"/>
              <w:left w:type="dxa" w:w="120"/>
              <w:bottom w:type="dxa" w:w="80"/>
              <w:right w:type="dxa" w:w="120"/>
            </w:tcMar>
            <w:vAlign w:val="center"/>
          </w:tcPr>
          <w:p>
            <w:pPr>
              <w:jc w:val="left"/>
            </w:pPr>
            <w:r>
              <w:rPr>
                <w:rFonts w:ascii="Arial" w:cs="Arial" w:eastAsia="Arial" w:hAnsi="Arial"/>
                <w:b/>
                <w:bCs/>
                <w:i w:val="false"/>
                <w:iCs w:val="false"/>
                <w:color w:val="1E6B47"/>
                <w:sz w:val="18"/>
                <w:szCs w:val="18"/>
              </w:rPr>
              <w:t xml:space="preserve">AI-Assisted Handover Summaries</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10–20 hrs</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£6,240–£15,600 per home</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Eliminates information gaps between shifts</w:t>
            </w:r>
          </w:p>
        </w:tc>
        <w:tc>
          <w:tcPr>
            <w:tcBorders>
              <w:top w:val="single" w:color="E0DBD0" w:sz="1"/>
              <w:left w:val="single" w:color="E0DBD0" w:sz="1"/>
              <w:bottom w:val="single" w:color="E0DBD0" w:sz="1"/>
              <w:right w:val="single" w:color="E0DBD0" w:sz="1"/>
            </w:tcBorders>
            <w:shd w:fill="E6F4EC" w:val="clear"/>
            <w:tcMar>
              <w:top w:type="dxa" w:w="80"/>
              <w:left w:type="dxa" w:w="120"/>
              <w:bottom w:type="dxa" w:w="80"/>
              <w:right w:type="dxa" w:w="120"/>
            </w:tcMar>
            <w:vAlign w:val="center"/>
          </w:tcPr>
          <w:p>
            <w:pPr>
              <w:jc w:val="center"/>
            </w:pPr>
            <w:r>
              <w:rPr>
                <w:rFonts w:ascii="Arial" w:cs="Arial" w:eastAsia="Arial" w:hAnsi="Arial"/>
                <w:b/>
                <w:bCs/>
                <w:i w:val="false"/>
                <w:iCs w:val="false"/>
                <w:color w:val="1E6B47"/>
                <w:sz w:val="18"/>
                <w:szCs w:val="18"/>
              </w:rPr>
              <w:t xml:space="preserve">2 — Good Pilot</w:t>
            </w:r>
          </w:p>
        </w:tc>
      </w:tr>
    </w:tbl>
    <w:p>
      <w:pPr>
        <w:spacing w:after="120" w:before="0"/>
      </w:pPr>
      <w:r>
        <w:rPr>
          <w:rFonts w:ascii="Arial" w:cs="Arial" w:eastAsia="Arial" w:hAnsi="Arial"/>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47" w:sz="1"/>
              <w:left w:val="single" w:color="1E6B47" w:sz="1"/>
              <w:bottom w:val="single" w:color="1E6B47" w:sz="1"/>
              <w:right w:val="single" w:color="1E6B47" w:sz="1"/>
            </w:tcBorders>
            <w:shd w:fill="E6F4EC" w:val="clear"/>
            <w:tcMar>
              <w:top w:type="dxa" w:w="120"/>
              <w:left w:type="dxa" w:w="200"/>
              <w:bottom w:type="dxa" w:w="120"/>
              <w:right w:type="dxa" w:w="200"/>
            </w:tcMar>
          </w:tcPr>
          <w:p>
            <w:r>
              <w:rPr>
                <w:rFonts w:ascii="Arial" w:cs="Arial" w:eastAsia="Arial" w:hAnsi="Arial"/>
                <w:b w:val="false"/>
                <w:bCs w:val="false"/>
                <w:color w:val="1E6B47"/>
                <w:sz w:val="20"/>
                <w:szCs w:val="20"/>
              </w:rPr>
              <w:t xml:space="preserve">Combined annual saving across all four opportunities (per home): £40,160–£70,000 in measurable labour and error costs. Clinical impact (avoided admissions) adds a further £60,000–£90,000/year in NHS cost avoidance. Total value case: £100,000–£160,000 per home annually.</w:t>
            </w:r>
          </w:p>
        </w:tc>
      </w:tr>
    </w:tbl>
    <w:p>
      <w:pPr>
        <w:spacing w:after="120" w:before="0"/>
      </w:pPr>
      <w:r>
        <w:rPr>
          <w:rFonts w:ascii="Arial" w:cs="Arial" w:eastAsia="Arial" w:hAnsi="Arial"/>
          <w:color w:val="1A1A1A"/>
          <w:sz w:val="20"/>
          <w:szCs w:val="20"/>
        </w:rPr>
        <w:t xml:space="preserve"/>
      </w:r>
    </w:p>
    <w:p>
      <w:r>
        <w:br w:type="page"/>
      </w:r>
    </w:p>
    <w:p>
      <w:pPr>
        <w:pStyle w:val="Heading1"/>
        <w:spacing w:after="160" w:before="320"/>
      </w:pPr>
      <w:r>
        <w:rPr>
          <w:rFonts w:ascii="Arial" w:cs="Arial" w:eastAsia="Arial" w:hAnsi="Arial"/>
          <w:b/>
          <w:bCs/>
          <w:color w:val="0D1B2A"/>
          <w:sz w:val="32"/>
          <w:szCs w:val="32"/>
        </w:rPr>
        <w:t xml:space="preserve">4. Technical Architecture: Why Federated</w:t>
      </w:r>
    </w:p>
    <w:p>
      <w:pPr>
        <w:pBdr>
          <w:bottom w:val="single" w:color="3D7ABF" w:sz="4" w:space="1"/>
        </w:pBdr>
        <w:spacing w:after="160" w:before="160"/>
      </w:pPr>
    </w:p>
    <w:p>
      <w:pPr>
        <w:spacing w:after="120" w:before="0"/>
      </w:pPr>
      <w:r>
        <w:rPr>
          <w:rFonts w:ascii="Arial" w:cs="Arial" w:eastAsia="Arial" w:hAnsi="Arial"/>
          <w:color w:val="1A1A1A"/>
          <w:sz w:val="20"/>
          <w:szCs w:val="20"/>
        </w:rPr>
        <w:t xml:space="preserve">All four opportunities are recommended for implementation using a Federated Learning architecture. This is not a default choice — it is a specific, research-evidenced recommendation grounded in the constraints of the care sector.</w:t>
      </w:r>
    </w:p>
    <w:p>
      <w:pPr>
        <w:spacing w:after="120" w:before="0"/>
      </w:pPr>
      <w:r>
        <w:rPr>
          <w:rFonts w:ascii="Arial" w:cs="Arial" w:eastAsia="Arial" w:hAnsi="Arial"/>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0D1B2A" w:sz="1"/>
              <w:left w:val="single" w:color="0D1B2A" w:sz="1"/>
              <w:bottom w:val="single" w:color="0D1B2A" w:sz="1"/>
              <w:right w:val="single" w:color="0D1B2A" w:sz="1"/>
            </w:tcBorders>
            <w:shd w:fill="1E6B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Federated Architecture</w:t>
            </w:r>
          </w:p>
        </w:tc>
        <w:tc>
          <w:tcPr>
            <w:tcBorders>
              <w:top w:val="single" w:color="0D1B2A" w:sz="1"/>
              <w:left w:val="single" w:color="0D1B2A" w:sz="1"/>
              <w:bottom w:val="single" w:color="0D1B2A" w:sz="1"/>
              <w:right w:val="single" w:color="0D1B2A" w:sz="1"/>
            </w:tcBorders>
            <w:shd w:fill="9A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Centralised Architecture</w:t>
            </w:r>
          </w:p>
        </w:tc>
      </w:tr>
      <w:tr>
        <w:tc>
          <w:tcPr>
            <w:tcBorders>
              <w:top w:val="single" w:color="E0DBD0" w:sz="1"/>
              <w:left w:val="single" w:color="E0DBD0" w:sz="1"/>
              <w:bottom w:val="single" w:color="E0DBD0" w:sz="1"/>
              <w:right w:val="single" w:color="E0DBD0" w:sz="1"/>
            </w:tcBorders>
            <w:shd w:fill="E6F4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6B47"/>
                <w:sz w:val="18"/>
                <w:szCs w:val="18"/>
              </w:rPr>
              <w:t xml:space="preserve">Health data processed locally at each care home. Raw data never transmitted.</w:t>
            </w:r>
          </w:p>
        </w:tc>
        <w:tc>
          <w:tcPr>
            <w:tcBorders>
              <w:top w:val="single" w:color="E0DBD0" w:sz="1"/>
              <w:left w:val="single" w:color="E0DBD0" w:sz="1"/>
              <w:bottom w:val="single" w:color="E0DBD0" w:sz="1"/>
              <w:right w:val="single" w:color="E0DBD0" w:sz="1"/>
            </w:tcBorders>
            <w:shd w:fill="FD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A1C1C"/>
                <w:sz w:val="18"/>
                <w:szCs w:val="18"/>
              </w:rPr>
              <w:t xml:space="preserve">All care data sent to central server for processing.</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GDPR compliant: special category health data remains on-premises.</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GDPR risk: centralising special category data increases breach exposure.</w:t>
            </w:r>
          </w:p>
        </w:tc>
      </w:tr>
      <w:tr>
        <w:tc>
          <w:tcPr>
            <w:tcBorders>
              <w:top w:val="single" w:color="E0DBD0" w:sz="1"/>
              <w:left w:val="single" w:color="E0DBD0" w:sz="1"/>
              <w:bottom w:val="single" w:color="E0DBD0" w:sz="1"/>
              <w:right w:val="single" w:color="E0DBD0" w:sz="1"/>
            </w:tcBorders>
            <w:shd w:fill="E6F4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6B47"/>
                <w:sz w:val="18"/>
                <w:szCs w:val="18"/>
              </w:rPr>
              <w:t xml:space="preserve">Model learns across all homes without sharing individual records. Only model improvements shared.</w:t>
            </w:r>
          </w:p>
        </w:tc>
        <w:tc>
          <w:tcPr>
            <w:tcBorders>
              <w:top w:val="single" w:color="E0DBD0" w:sz="1"/>
              <w:left w:val="single" w:color="E0DBD0" w:sz="1"/>
              <w:bottom w:val="single" w:color="E0DBD0" w:sz="1"/>
              <w:right w:val="single" w:color="E0DBD0" w:sz="1"/>
            </w:tcBorders>
            <w:shd w:fill="FD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A1C1C"/>
                <w:sz w:val="18"/>
                <w:szCs w:val="18"/>
              </w:rPr>
              <w:t xml:space="preserve">Requires data sharing agreements across all homes. Data ownership and consent complexity.</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Dissertation result: 0.95 accuracy matching centralised performance. Privacy preserved.</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Marginal accuracy advantage (2–10%) does not justify privacy trade-off in this context.</w:t>
            </w:r>
          </w:p>
        </w:tc>
      </w:tr>
      <w:tr>
        <w:tc>
          <w:tcPr>
            <w:tcBorders>
              <w:top w:val="single" w:color="E0DBD0" w:sz="1"/>
              <w:left w:val="single" w:color="E0DBD0" w:sz="1"/>
              <w:bottom w:val="single" w:color="E0DBD0" w:sz="1"/>
              <w:right w:val="single" w:color="E0DBD0" w:sz="1"/>
            </w:tcBorders>
            <w:shd w:fill="E6F4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6B47"/>
                <w:sz w:val="18"/>
                <w:szCs w:val="18"/>
              </w:rPr>
              <w:t xml:space="preserve">Drift detection monitors each home's data distribution independently. Early warning of model decay.</w:t>
            </w:r>
          </w:p>
        </w:tc>
        <w:tc>
          <w:tcPr>
            <w:tcBorders>
              <w:top w:val="single" w:color="E0DBD0" w:sz="1"/>
              <w:left w:val="single" w:color="E0DBD0" w:sz="1"/>
              <w:bottom w:val="single" w:color="E0DBD0" w:sz="1"/>
              <w:right w:val="single" w:color="E0DBD0" w:sz="1"/>
            </w:tcBorders>
            <w:shd w:fill="FD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A1C1C"/>
                <w:sz w:val="18"/>
                <w:szCs w:val="18"/>
              </w:rPr>
              <w:t xml:space="preserve">Centralised drift detection may miss home-specific variations in resident population.</w:t>
            </w:r>
          </w:p>
        </w:tc>
      </w:tr>
    </w:tbl>
    <w:p>
      <w:pPr>
        <w:spacing w:after="120" w:before="0"/>
      </w:pPr>
      <w:r>
        <w:rPr>
          <w:rFonts w:ascii="Arial" w:cs="Arial" w:eastAsia="Arial" w:hAnsi="Arial"/>
          <w:color w:val="1A1A1A"/>
          <w:sz w:val="20"/>
          <w:szCs w:val="20"/>
        </w:rPr>
        <w:t xml:space="preserve"/>
      </w:r>
    </w:p>
    <w:p>
      <w:r>
        <w:br w:type="page"/>
      </w:r>
    </w:p>
    <w:p>
      <w:pPr>
        <w:pStyle w:val="Heading1"/>
        <w:spacing w:after="160" w:before="320"/>
      </w:pPr>
      <w:r>
        <w:rPr>
          <w:rFonts w:ascii="Arial" w:cs="Arial" w:eastAsia="Arial" w:hAnsi="Arial"/>
          <w:b/>
          <w:bCs/>
          <w:color w:val="0D1B2A"/>
          <w:sz w:val="32"/>
          <w:szCs w:val="32"/>
        </w:rPr>
        <w:t xml:space="preserve">5. Risk Assessment</w:t>
      </w:r>
    </w:p>
    <w:p>
      <w:pPr>
        <w:pBdr>
          <w:bottom w:val="single" w:color="3D7ABF" w:sz="4" w:space="1"/>
        </w:pBd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00"/>
        <w:gridCol w:w="2326"/>
      </w:tblGrid>
      <w:tr>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Likelihood</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Rating</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AI transcription error in care log</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Medium</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High</w:t>
            </w:r>
          </w:p>
        </w:tc>
        <w:tc>
          <w:tcPr>
            <w:tcBorders>
              <w:top w:val="single" w:color="E0DBD0" w:sz="1"/>
              <w:left w:val="single" w:color="E0DBD0" w:sz="1"/>
              <w:bottom w:val="single" w:color="E0DBD0" w:sz="1"/>
              <w:right w:val="single" w:color="E0DBD0" w:sz="1"/>
            </w:tcBorders>
            <w:shd w:fill="FDEAEA" w:val="clear"/>
            <w:tcMar>
              <w:top w:type="dxa" w:w="80"/>
              <w:left w:type="dxa" w:w="120"/>
              <w:bottom w:type="dxa" w:w="80"/>
              <w:right w:type="dxa" w:w="120"/>
            </w:tcMar>
            <w:vAlign w:val="center"/>
          </w:tcPr>
          <w:p>
            <w:pPr>
              <w:jc w:val="center"/>
            </w:pPr>
            <w:r>
              <w:rPr>
                <w:rFonts w:ascii="Arial" w:cs="Arial" w:eastAsia="Arial" w:hAnsi="Arial"/>
                <w:b/>
                <w:bCs/>
                <w:i w:val="false"/>
                <w:iCs w:val="false"/>
                <w:color w:val="9A1C1C"/>
                <w:sz w:val="18"/>
                <w:szCs w:val="18"/>
              </w:rPr>
              <w:t xml:space="preserve">MEDIUM</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Mandatory human review before log is finalised. Staff sign off every AI-generated entry.</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Medication AI alert — false positive</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Low</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Medium</w:t>
            </w:r>
          </w:p>
        </w:tc>
        <w:tc>
          <w:tcPr>
            <w:tcBorders>
              <w:top w:val="single" w:color="E0DBD0" w:sz="1"/>
              <w:left w:val="single" w:color="E0DBD0" w:sz="1"/>
              <w:bottom w:val="single" w:color="E0DBD0" w:sz="1"/>
              <w:right w:val="single" w:color="E0DBD0" w:sz="1"/>
            </w:tcBorders>
            <w:shd w:fill="E6F4EC" w:val="clear"/>
            <w:tcMar>
              <w:top w:type="dxa" w:w="80"/>
              <w:left w:type="dxa" w:w="120"/>
              <w:bottom w:type="dxa" w:w="80"/>
              <w:right w:type="dxa" w:w="120"/>
            </w:tcMar>
            <w:vAlign w:val="center"/>
          </w:tcPr>
          <w:p>
            <w:pPr>
              <w:jc w:val="center"/>
            </w:pPr>
            <w:r>
              <w:rPr>
                <w:rFonts w:ascii="Arial" w:cs="Arial" w:eastAsia="Arial" w:hAnsi="Arial"/>
                <w:b/>
                <w:bCs/>
                <w:i w:val="false"/>
                <w:iCs w:val="false"/>
                <w:color w:val="1E6B47"/>
                <w:sz w:val="18"/>
                <w:szCs w:val="18"/>
              </w:rPr>
              <w:t xml:space="preserve">LOW</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Alert is advisory only. Dual-witness protocol unchanged. Human decision at every administration.</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Staff resistance to AI tools</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Medium</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Medium</w:t>
            </w:r>
          </w:p>
        </w:tc>
        <w:tc>
          <w:tcPr>
            <w:tcBorders>
              <w:top w:val="single" w:color="E0DBD0" w:sz="1"/>
              <w:left w:val="single" w:color="E0DBD0" w:sz="1"/>
              <w:bottom w:val="single" w:color="E0DBD0" w:sz="1"/>
              <w:right w:val="single" w:color="E0DBD0" w:sz="1"/>
            </w:tcBorders>
            <w:shd w:fill="FFF5E0" w:val="clear"/>
            <w:tcMar>
              <w:top w:type="dxa" w:w="80"/>
              <w:left w:type="dxa" w:w="120"/>
              <w:bottom w:type="dxa" w:w="80"/>
              <w:right w:type="dxa" w:w="120"/>
            </w:tcMar>
            <w:vAlign w:val="center"/>
          </w:tcPr>
          <w:p>
            <w:pPr>
              <w:jc w:val="center"/>
            </w:pPr>
            <w:r>
              <w:rPr>
                <w:rFonts w:ascii="Arial" w:cs="Arial" w:eastAsia="Arial" w:hAnsi="Arial"/>
                <w:b/>
                <w:bCs/>
                <w:i w:val="false"/>
                <w:iCs w:val="false"/>
                <w:color w:val="8A5A00"/>
                <w:sz w:val="18"/>
                <w:szCs w:val="18"/>
              </w:rPr>
              <w:t xml:space="preserve">MEDIUM</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Pilot with Early Adopter champions. Framing: AI reduces admin burden, not replaces staff.</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GDPR — health data processing</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Low</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High</w:t>
            </w:r>
          </w:p>
        </w:tc>
        <w:tc>
          <w:tcPr>
            <w:tcBorders>
              <w:top w:val="single" w:color="E0DBD0" w:sz="1"/>
              <w:left w:val="single" w:color="E0DBD0" w:sz="1"/>
              <w:bottom w:val="single" w:color="E0DBD0" w:sz="1"/>
              <w:right w:val="single" w:color="E0DBD0" w:sz="1"/>
            </w:tcBorders>
            <w:shd w:fill="FDEAEA" w:val="clear"/>
            <w:tcMar>
              <w:top w:type="dxa" w:w="80"/>
              <w:left w:type="dxa" w:w="120"/>
              <w:bottom w:type="dxa" w:w="80"/>
              <w:right w:type="dxa" w:w="120"/>
            </w:tcMar>
            <w:vAlign w:val="center"/>
          </w:tcPr>
          <w:p>
            <w:pPr>
              <w:jc w:val="center"/>
            </w:pPr>
            <w:r>
              <w:rPr>
                <w:rFonts w:ascii="Arial" w:cs="Arial" w:eastAsia="Arial" w:hAnsi="Arial"/>
                <w:b/>
                <w:bCs/>
                <w:i w:val="false"/>
                <w:iCs w:val="false"/>
                <w:color w:val="9A1C1C"/>
                <w:sz w:val="18"/>
                <w:szCs w:val="18"/>
              </w:rPr>
              <w:t xml:space="preserve">MEDIUM</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Federated architecture: health data never leaves care home server. No centralised storage of individual records.</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CQC audit — AI-generated records</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Low</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High</w:t>
            </w:r>
          </w:p>
        </w:tc>
        <w:tc>
          <w:tcPr>
            <w:tcBorders>
              <w:top w:val="single" w:color="E0DBD0" w:sz="1"/>
              <w:left w:val="single" w:color="E0DBD0" w:sz="1"/>
              <w:bottom w:val="single" w:color="E0DBD0" w:sz="1"/>
              <w:right w:val="single" w:color="E0DBD0" w:sz="1"/>
            </w:tcBorders>
            <w:shd w:fill="FFF5E0" w:val="clear"/>
            <w:tcMar>
              <w:top w:type="dxa" w:w="80"/>
              <w:left w:type="dxa" w:w="120"/>
              <w:bottom w:type="dxa" w:w="80"/>
              <w:right w:type="dxa" w:w="120"/>
            </w:tcMar>
            <w:vAlign w:val="center"/>
          </w:tcPr>
          <w:p>
            <w:pPr>
              <w:jc w:val="center"/>
            </w:pPr>
            <w:r>
              <w:rPr>
                <w:rFonts w:ascii="Arial" w:cs="Arial" w:eastAsia="Arial" w:hAnsi="Arial"/>
                <w:b/>
                <w:bCs/>
                <w:i w:val="false"/>
                <w:iCs w:val="false"/>
                <w:color w:val="8A5A00"/>
                <w:sz w:val="18"/>
                <w:szCs w:val="18"/>
              </w:rPr>
              <w:t xml:space="preserve">MEDIUM</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Every AI entry is human-reviewed and signed. Full audit trail. SHAP explainability provides feature-level evidence for every flag.</w:t>
            </w:r>
          </w:p>
        </w:tc>
      </w:tr>
      <w:tr>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Model performance degradation over time</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Medium</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Medium</w:t>
            </w:r>
          </w:p>
        </w:tc>
        <w:tc>
          <w:tcPr>
            <w:tcBorders>
              <w:top w:val="single" w:color="E0DBD0" w:sz="1"/>
              <w:left w:val="single" w:color="E0DBD0" w:sz="1"/>
              <w:bottom w:val="single" w:color="E0DBD0" w:sz="1"/>
              <w:right w:val="single" w:color="E0DBD0" w:sz="1"/>
            </w:tcBorders>
            <w:shd w:fill="FFF5E0" w:val="clear"/>
            <w:tcMar>
              <w:top w:type="dxa" w:w="80"/>
              <w:left w:type="dxa" w:w="120"/>
              <w:bottom w:type="dxa" w:w="80"/>
              <w:right w:type="dxa" w:w="120"/>
            </w:tcMar>
            <w:vAlign w:val="center"/>
          </w:tcPr>
          <w:p>
            <w:pPr>
              <w:jc w:val="center"/>
            </w:pPr>
            <w:r>
              <w:rPr>
                <w:rFonts w:ascii="Arial" w:cs="Arial" w:eastAsia="Arial" w:hAnsi="Arial"/>
                <w:b/>
                <w:bCs/>
                <w:i w:val="false"/>
                <w:iCs w:val="false"/>
                <w:color w:val="8A5A00"/>
                <w:sz w:val="18"/>
                <w:szCs w:val="18"/>
              </w:rPr>
              <w:t xml:space="preserve">MEDIUM</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Drift detection mechanism (from dissertation) monitors for distributional shift. Retraining triggered automatically when drift exceeds 0.2 tolerance.</w:t>
            </w:r>
          </w:p>
        </w:tc>
      </w:tr>
    </w:tbl>
    <w:p>
      <w:pPr>
        <w:spacing w:after="120" w:before="0"/>
      </w:pPr>
      <w:r>
        <w:rPr>
          <w:rFonts w:ascii="Arial" w:cs="Arial" w:eastAsia="Arial" w:hAnsi="Arial"/>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B2D8E" w:sz="1"/>
              <w:left w:val="single" w:color="5B2D8E" w:sz="1"/>
              <w:bottom w:val="single" w:color="5B2D8E" w:sz="1"/>
              <w:right w:val="single" w:color="5B2D8E" w:sz="1"/>
            </w:tcBorders>
            <w:shd w:fill="F0EBF8" w:val="clear"/>
            <w:tcMar>
              <w:top w:type="dxa" w:w="120"/>
              <w:left w:type="dxa" w:w="200"/>
              <w:bottom w:type="dxa" w:w="120"/>
              <w:right w:type="dxa" w:w="200"/>
            </w:tcMar>
          </w:tcPr>
          <w:p>
            <w:r>
              <w:rPr>
                <w:rFonts w:ascii="Arial" w:cs="Arial" w:eastAsia="Arial" w:hAnsi="Arial"/>
                <w:b w:val="false"/>
                <w:bCs w:val="false"/>
                <w:color w:val="5B2D8E"/>
                <w:sz w:val="20"/>
                <w:szCs w:val="20"/>
              </w:rPr>
              <w:t xml:space="preserve">Governance Principle: Every AI workflow must have a named business owner, a human reviewer, a clear support route, and a defined review cycle. No AI system in CareForward should make or record a care decision without human sign-off. This principle aligns with CQC's person-centred care requirements and UK GDPR accountability obligations.</w:t>
            </w:r>
          </w:p>
        </w:tc>
      </w:tr>
    </w:tbl>
    <w:p>
      <w:pPr>
        <w:spacing w:after="120" w:before="0"/>
      </w:pPr>
      <w:r>
        <w:rPr>
          <w:rFonts w:ascii="Arial" w:cs="Arial" w:eastAsia="Arial" w:hAnsi="Arial"/>
          <w:color w:val="1A1A1A"/>
          <w:sz w:val="20"/>
          <w:szCs w:val="20"/>
        </w:rPr>
        <w:t xml:space="preserve"/>
      </w:r>
    </w:p>
    <w:p>
      <w:r>
        <w:br w:type="page"/>
      </w:r>
    </w:p>
    <w:p>
      <w:pPr>
        <w:pStyle w:val="Heading1"/>
        <w:spacing w:after="160" w:before="320"/>
      </w:pPr>
      <w:r>
        <w:rPr>
          <w:rFonts w:ascii="Arial" w:cs="Arial" w:eastAsia="Arial" w:hAnsi="Arial"/>
          <w:b/>
          <w:bCs/>
          <w:color w:val="0D1B2A"/>
          <w:sz w:val="32"/>
          <w:szCs w:val="32"/>
        </w:rPr>
        <w:t xml:space="preserve">6. Implementation Roadmap</w:t>
      </w:r>
    </w:p>
    <w:p>
      <w:pPr>
        <w:pBdr>
          <w:bottom w:val="single" w:color="3D7ABF" w:sz="4" w:space="1"/>
        </w:pBd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Timeline</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Opportunity</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Activities</w:t>
            </w:r>
          </w:p>
        </w:tc>
      </w:tr>
      <w:tr>
        <w:tc>
          <w:tcPr>
            <w:tcBorders>
              <w:top w:val="single" w:color="E0DBD0" w:sz="1"/>
              <w:left w:val="single" w:color="E0DBD0" w:sz="1"/>
              <w:bottom w:val="single" w:color="E0DBD0" w:sz="1"/>
              <w:right w:val="single" w:color="E0DBD0" w:sz="1"/>
            </w:tcBorders>
            <w:shd w:fill="0D1B2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Phase 0
Foundation</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Weeks 1–4</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Infrastructure &amp; Governance</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Establish federated infrastructure. Define data governance framework. Identify Early Adopter champions. Set up audit trail requirements. CQC readiness review.</w:t>
            </w:r>
          </w:p>
        </w:tc>
      </w:tr>
      <w:tr>
        <w:tc>
          <w:tcPr>
            <w:tcBorders>
              <w:top w:val="single" w:color="E0DBD0" w:sz="1"/>
              <w:left w:val="single" w:color="E0DBD0" w:sz="1"/>
              <w:bottom w:val="single" w:color="E0DBD0" w:sz="1"/>
              <w:right w:val="single" w:color="E0DBD0" w:sz="1"/>
            </w:tcBorders>
            <w:shd w:fill="1E6B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Phase 1a
Quick Win</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Weeks 5–8</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AI-Assisted Handover Summaries (Pilot)</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Pilot with one home, two shifts. Staff training. Feedback capture. Measure time saving and quality improvement.</w:t>
            </w:r>
          </w:p>
        </w:tc>
      </w:tr>
      <w:tr>
        <w:tc>
          <w:tcPr>
            <w:tcBorders>
              <w:top w:val="single" w:color="E0DBD0" w:sz="1"/>
              <w:left w:val="single" w:color="E0DBD0" w:sz="1"/>
              <w:bottom w:val="single" w:color="E0DBD0" w:sz="1"/>
              <w:right w:val="single" w:color="E0DBD0" w:sz="1"/>
            </w:tcBorders>
            <w:shd w:fill="9A1C1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Phase 1b
Core</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Weeks 9–16</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Voice-to-Text Logging
+
Medication Error Prevention</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Deploy voice logging to Phase 1a pilot home. Introduce MAR verification. Monitor accuracy, staff adoption, CQC compliance. Refine before wider rollout.</w:t>
            </w:r>
          </w:p>
        </w:tc>
      </w:tr>
      <w:tr>
        <w:tc>
          <w:tcPr>
            <w:tcBorders>
              <w:top w:val="single" w:color="E0DBD0" w:sz="1"/>
              <w:left w:val="single" w:color="E0DBD0" w:sz="1"/>
              <w:bottom w:val="single" w:color="E0DBD0" w:sz="1"/>
              <w:right w:val="single" w:color="E0DBD0" w:sz="1"/>
            </w:tcBorders>
            <w:shd w:fill="3D7AB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Phase 2
Advanced</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Months 5–9</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Early Health Deterioration Detection</w:t>
            </w:r>
          </w:p>
        </w:tc>
        <w:tc>
          <w:tcPr>
            <w:tcBorders>
              <w:top w:val="single" w:color="E0DBD0" w:sz="1"/>
              <w:left w:val="single" w:color="E0DBD0" w:sz="1"/>
              <w:bottom w:val="single" w:color="E0DBD0" w:sz="1"/>
              <w:right w:val="single" w:color="E0DBD0"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Train LogAE baseline models per service user (minimum 3 months of log data required). Introduce alerts with senior staff review. Clinical validation before expanding.</w:t>
            </w:r>
          </w:p>
        </w:tc>
      </w:tr>
      <w:tr>
        <w:tc>
          <w:tcPr>
            <w:tcBorders>
              <w:top w:val="single" w:color="E0DBD0" w:sz="1"/>
              <w:left w:val="single" w:color="E0DBD0" w:sz="1"/>
              <w:bottom w:val="single" w:color="E0DBD0" w:sz="1"/>
              <w:right w:val="single" w:color="E0DBD0" w:sz="1"/>
            </w:tcBorders>
            <w:shd w:fill="1E6B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Phase 3
Scale</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Months 10–12</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Full Deployment Across All Homes</w:t>
            </w:r>
          </w:p>
        </w:tc>
        <w:tc>
          <w:tcPr>
            <w:tcBorders>
              <w:top w:val="single" w:color="E0DBD0" w:sz="1"/>
              <w:left w:val="single" w:color="E0DBD0" w:sz="1"/>
              <w:bottom w:val="single" w:color="E0DBD0" w:sz="1"/>
              <w:right w:val="single" w:color="E0DB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Roll all four systems to remaining homes. Benefits tracking and reporting. Continuous improvement cycle. CQC inspection readiness documentation.</w:t>
            </w:r>
          </w:p>
        </w:tc>
      </w:tr>
    </w:tbl>
    <w:p>
      <w:pPr>
        <w:spacing w:after="120" w:before="0"/>
      </w:pPr>
      <w:r>
        <w:rPr>
          <w:rFonts w:ascii="Arial" w:cs="Arial" w:eastAsia="Arial" w:hAnsi="Arial"/>
          <w:color w:val="1A1A1A"/>
          <w:sz w:val="20"/>
          <w:szCs w:val="20"/>
        </w:rPr>
        <w:t xml:space="preserve"/>
      </w:r>
    </w:p>
    <w:p>
      <w:r>
        <w:br w:type="page"/>
      </w:r>
    </w:p>
    <w:p>
      <w:pPr>
        <w:pStyle w:val="Heading1"/>
        <w:spacing w:after="160" w:before="320"/>
      </w:pPr>
      <w:r>
        <w:rPr>
          <w:rFonts w:ascii="Arial" w:cs="Arial" w:eastAsia="Arial" w:hAnsi="Arial"/>
          <w:b/>
          <w:bCs/>
          <w:color w:val="0D1B2A"/>
          <w:sz w:val="32"/>
          <w:szCs w:val="32"/>
        </w:rPr>
        <w:t xml:space="preserve">7. Recommendation</w:t>
      </w:r>
    </w:p>
    <w:p>
      <w:pPr>
        <w:pBdr>
          <w:bottom w:val="single" w:color="3D7ABF" w:sz="4" w:space="1"/>
        </w:pBd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47" w:sz="1"/>
              <w:left w:val="single" w:color="1E6B47" w:sz="1"/>
              <w:bottom w:val="single" w:color="1E6B47" w:sz="1"/>
              <w:right w:val="single" w:color="1E6B47" w:sz="1"/>
            </w:tcBorders>
            <w:shd w:fill="E6F4EC" w:val="clear"/>
            <w:tcMar>
              <w:top w:type="dxa" w:w="120"/>
              <w:left w:type="dxa" w:w="200"/>
              <w:bottom w:type="dxa" w:w="120"/>
              <w:right w:type="dxa" w:w="200"/>
            </w:tcMar>
          </w:tcPr>
          <w:p>
            <w:r>
              <w:rPr>
                <w:rFonts w:ascii="Arial" w:cs="Arial" w:eastAsia="Arial" w:hAnsi="Arial"/>
                <w:b w:val="false"/>
                <w:bCs w:val="false"/>
                <w:color w:val="1E6B47"/>
                <w:sz w:val="20"/>
                <w:szCs w:val="20"/>
              </w:rPr>
              <w:t xml:space="preserve">Primary Recommendation: Approve Phase 0 foundation work and Phase 1a pilot (AI-Assisted Handover Summaries) for immediate initiation. This low-risk, high-visibility pilot builds staff confidence and generates evidence for the Phase 1b business case.</w:t>
            </w:r>
          </w:p>
        </w:tc>
      </w:tr>
    </w:tbl>
    <w:p>
      <w:pPr>
        <w:spacing w:after="120" w:before="0"/>
      </w:pPr>
      <w:r>
        <w:rPr>
          <w:rFonts w:ascii="Arial" w:cs="Arial" w:eastAsia="Arial" w:hAnsi="Arial"/>
          <w:color w:val="1A1A1A"/>
          <w:sz w:val="20"/>
          <w:szCs w:val="20"/>
        </w:rPr>
        <w:t xml:space="preserve"/>
      </w:r>
    </w:p>
    <w:p>
      <w:pPr>
        <w:spacing w:after="80" w:before="200"/>
      </w:pPr>
      <w:r>
        <w:rPr>
          <w:rFonts w:ascii="Arial" w:cs="Arial" w:eastAsia="Arial" w:hAnsi="Arial"/>
          <w:b/>
          <w:bCs/>
          <w:color w:val="0D1B2A"/>
          <w:sz w:val="21"/>
          <w:szCs w:val="21"/>
        </w:rPr>
        <w:t xml:space="preserve">What success looks like after 12 months:</w:t>
      </w:r>
    </w:p>
    <w:p>
      <w:pPr>
        <w:pStyle w:val="ListParagraph"/>
        <w:numPr>
          <w:ilvl w:val="0"/>
          <w:numId w:val="2"/>
        </w:numPr>
        <w:spacing w:after="80" w:before="0"/>
      </w:pPr>
      <w:r>
        <w:rPr>
          <w:rFonts w:ascii="Arial" w:cs="Arial" w:eastAsia="Arial" w:hAnsi="Arial"/>
          <w:sz w:val="20"/>
          <w:szCs w:val="20"/>
        </w:rPr>
        <w:t xml:space="preserve">40–60 hours per week reclaimed from manual logging across the team</w:t>
      </w:r>
    </w:p>
    <w:p>
      <w:pPr>
        <w:pStyle w:val="ListParagraph"/>
        <w:numPr>
          <w:ilvl w:val="0"/>
          <w:numId w:val="2"/>
        </w:numPr>
        <w:spacing w:after="80" w:before="0"/>
      </w:pPr>
      <w:r>
        <w:rPr>
          <w:rFonts w:ascii="Arial" w:cs="Arial" w:eastAsia="Arial" w:hAnsi="Arial"/>
          <w:sz w:val="20"/>
          <w:szCs w:val="20"/>
        </w:rPr>
        <w:t xml:space="preserve">Medication error rate reduced by 60–80%</w:t>
      </w:r>
    </w:p>
    <w:p>
      <w:pPr>
        <w:pStyle w:val="ListParagraph"/>
        <w:numPr>
          <w:ilvl w:val="0"/>
          <w:numId w:val="2"/>
        </w:numPr>
        <w:spacing w:after="80" w:before="0"/>
      </w:pPr>
      <w:r>
        <w:rPr>
          <w:rFonts w:ascii="Arial" w:cs="Arial" w:eastAsia="Arial" w:hAnsi="Arial"/>
          <w:sz w:val="20"/>
          <w:szCs w:val="20"/>
        </w:rPr>
        <w:t xml:space="preserve">Early deterioration detection preventing 2–3 emergency admissions per month per home</w:t>
      </w:r>
    </w:p>
    <w:p>
      <w:pPr>
        <w:pStyle w:val="ListParagraph"/>
        <w:numPr>
          <w:ilvl w:val="0"/>
          <w:numId w:val="2"/>
        </w:numPr>
        <w:spacing w:after="80" w:before="0"/>
      </w:pPr>
      <w:r>
        <w:rPr>
          <w:rFonts w:ascii="Arial" w:cs="Arial" w:eastAsia="Arial" w:hAnsi="Arial"/>
          <w:sz w:val="20"/>
          <w:szCs w:val="20"/>
        </w:rPr>
        <w:t xml:space="preserve">Full CQC compliance maintained — every AI entry human-reviewed and signed</w:t>
      </w:r>
    </w:p>
    <w:p>
      <w:pPr>
        <w:pStyle w:val="ListParagraph"/>
        <w:numPr>
          <w:ilvl w:val="0"/>
          <w:numId w:val="2"/>
        </w:numPr>
        <w:spacing w:after="80" w:before="0"/>
      </w:pPr>
      <w:r>
        <w:rPr>
          <w:rFonts w:ascii="Arial" w:cs="Arial" w:eastAsia="Arial" w:hAnsi="Arial"/>
          <w:sz w:val="20"/>
          <w:szCs w:val="20"/>
        </w:rPr>
        <w:t xml:space="preserve">Staff report more direct care time with service users</w:t>
      </w:r>
    </w:p>
    <w:p>
      <w:pPr>
        <w:pStyle w:val="ListParagraph"/>
        <w:numPr>
          <w:ilvl w:val="0"/>
          <w:numId w:val="2"/>
        </w:numPr>
        <w:spacing w:after="80" w:before="0"/>
      </w:pPr>
      <w:r>
        <w:rPr>
          <w:rFonts w:ascii="Arial" w:cs="Arial" w:eastAsia="Arial" w:hAnsi="Arial"/>
          <w:sz w:val="20"/>
          <w:szCs w:val="20"/>
        </w:rPr>
        <w:t xml:space="preserve">GDPR compliance maintained — zero transfer of individual health records outside each home</w:t>
      </w:r>
    </w:p>
    <w:p>
      <w:pPr>
        <w:spacing w:after="120" w:before="0"/>
      </w:pPr>
      <w:r>
        <w:rPr>
          <w:rFonts w:ascii="Arial" w:cs="Arial" w:eastAsia="Arial" w:hAnsi="Arial"/>
          <w:color w:val="1A1A1A"/>
          <w:sz w:val="20"/>
          <w:szCs w:val="20"/>
        </w:rPr>
        <w:t xml:space="preserve"/>
      </w:r>
    </w:p>
    <w:p>
      <w:pPr>
        <w:spacing w:after="80" w:before="200"/>
      </w:pPr>
      <w:r>
        <w:rPr>
          <w:rFonts w:ascii="Arial" w:cs="Arial" w:eastAsia="Arial" w:hAnsi="Arial"/>
          <w:b/>
          <w:bCs/>
          <w:color w:val="0D1B2A"/>
          <w:sz w:val="21"/>
          <w:szCs w:val="21"/>
        </w:rPr>
        <w:t xml:space="preserve">Why this team is positioned to deliver it:</w:t>
      </w:r>
    </w:p>
    <w:p>
      <w:pPr>
        <w:spacing w:after="120" w:before="0"/>
      </w:pPr>
      <w:r>
        <w:rPr>
          <w:rFonts w:ascii="Arial" w:cs="Arial" w:eastAsia="Arial" w:hAnsi="Arial"/>
          <w:color w:val="1A1A1A"/>
          <w:sz w:val="20"/>
          <w:szCs w:val="20"/>
        </w:rPr>
        <w:t xml:space="preserve">This business case is grounded in original MSc research in federated machine learning (LogAE-XGBoost-SHAP, University of Hull, 2025), which demonstrated that federated architectures can match centralised model performance while preserving data locality. The same anomaly detection principles that achieved 0.95 accuracy and 0.99 AUC in cybersecurity threat detection are directly transferable to care log pattern analysis. SHAP stability of 0.9934 ensures that every AI-generated flag is explainable, auditable, and defensible to CQC inspectors and clinical stakeholders.</w:t>
      </w:r>
    </w:p>
    <w:p>
      <w:pPr>
        <w:spacing w:after="120" w:before="0"/>
      </w:pPr>
      <w:r>
        <w:rPr>
          <w:rFonts w:ascii="Arial" w:cs="Arial" w:eastAsia="Arial" w:hAnsi="Arial"/>
          <w:color w:val="1A1A1A"/>
          <w:sz w:val="20"/>
          <w:szCs w:val="20"/>
        </w:rPr>
        <w:t xml:space="preserve"/>
      </w:r>
    </w:p>
    <w:p>
      <w:pPr>
        <w:pBdr>
          <w:bottom w:val="single" w:color="3D7ABF" w:sz="4" w:space="1"/>
        </w:pBdr>
        <w:spacing w:after="160" w:before="160"/>
      </w:pPr>
    </w:p>
    <w:p>
      <w:pPr>
        <w:spacing w:after="120" w:before="0"/>
      </w:pPr>
      <w:r>
        <w:rPr>
          <w:rFonts w:ascii="Arial" w:cs="Arial" w:eastAsia="Arial" w:hAnsi="Arial"/>
          <w:b/>
          <w:bCs/>
          <w:i w:val="false"/>
          <w:iCs w:val="false"/>
          <w:color w:val="1A1A1A"/>
          <w:sz w:val="20"/>
          <w:szCs w:val="20"/>
        </w:rPr>
        <w:t xml:space="preserve">Prepared by: </w:t>
      </w:r>
      <w:r>
        <w:rPr>
          <w:rFonts w:ascii="Arial" w:cs="Arial" w:eastAsia="Arial" w:hAnsi="Arial"/>
          <w:b w:val="false"/>
          <w:bCs w:val="false"/>
          <w:i w:val="false"/>
          <w:iCs w:val="false"/>
          <w:color w:val="1A1A1A"/>
          <w:sz w:val="20"/>
          <w:szCs w:val="20"/>
        </w:rPr>
        <w:t xml:space="preserve">Stephanie Onuoha  |  BEng Computer Engineering, MSc AI &amp; Data Science (University of Hull)</w:t>
      </w:r>
    </w:p>
    <w:p>
      <w:pPr>
        <w:spacing w:after="120" w:before="0"/>
      </w:pPr>
      <w:r>
        <w:rPr>
          <w:rFonts w:ascii="Arial" w:cs="Arial" w:eastAsia="Arial" w:hAnsi="Arial"/>
          <w:b/>
          <w:bCs/>
          <w:i w:val="false"/>
          <w:iCs w:val="false"/>
          <w:color w:val="1A1A1A"/>
          <w:sz w:val="20"/>
          <w:szCs w:val="20"/>
        </w:rPr>
        <w:t xml:space="preserve">Research foundation: </w:t>
      </w:r>
      <w:r>
        <w:rPr>
          <w:rFonts w:ascii="Arial" w:cs="Arial" w:eastAsia="Arial" w:hAnsi="Arial"/>
          <w:b w:val="false"/>
          <w:bCs w:val="false"/>
          <w:i w:val="false"/>
          <w:iCs w:val="false"/>
          <w:color w:val="1A1A1A"/>
          <w:sz w:val="20"/>
          <w:szCs w:val="20"/>
        </w:rPr>
        <w:t xml:space="preserve">Zero Trust and Traditional Threat Detection of DoS Attacks: A Comparative Analysis in Federated Learning Environments (August 2025)</w:t>
      </w:r>
    </w:p>
    <w:p>
      <w:pPr>
        <w:spacing w:after="120" w:before="0"/>
      </w:pPr>
      <w:r>
        <w:rPr>
          <w:rFonts w:ascii="Arial" w:cs="Arial" w:eastAsia="Arial" w:hAnsi="Arial"/>
          <w:b/>
          <w:bCs/>
          <w:i w:val="false"/>
          <w:iCs w:val="false"/>
          <w:color w:val="1A1A1A"/>
          <w:sz w:val="20"/>
          <w:szCs w:val="20"/>
        </w:rPr>
        <w:t xml:space="preserve">Key metrics: </w:t>
      </w:r>
      <w:r>
        <w:rPr>
          <w:rFonts w:ascii="Arial" w:cs="Arial" w:eastAsia="Arial" w:hAnsi="Arial"/>
          <w:b w:val="false"/>
          <w:bCs w:val="false"/>
          <w:i w:val="false"/>
          <w:iCs w:val="false"/>
          <w:color w:val="1A1A1A"/>
          <w:sz w:val="20"/>
          <w:szCs w:val="20"/>
        </w:rPr>
        <w:t xml:space="preserve">Enhanced Federated Model: 0.95 Accuracy  |  0.95 F1-Score  |  0.99 AUC  |  SHAP Stability 0.9934</w:t>
      </w:r>
    </w:p>
    <w:p>
      <w:pPr>
        <w:spacing w:after="120" w:before="0"/>
      </w:pPr>
      <w:r>
        <w:rPr>
          <w:rFonts w:ascii="Arial" w:cs="Arial" w:eastAsia="Arial" w:hAnsi="Arial"/>
          <w:b/>
          <w:bCs/>
          <w:i w:val="false"/>
          <w:iCs w:val="false"/>
          <w:color w:val="1A1A1A"/>
          <w:sz w:val="20"/>
          <w:szCs w:val="20"/>
        </w:rPr>
        <w:t xml:space="preserve">Contact: </w:t>
      </w:r>
      <w:r>
        <w:rPr>
          <w:rFonts w:ascii="Arial" w:cs="Arial" w:eastAsia="Arial" w:hAnsi="Arial"/>
          <w:b w:val="false"/>
          <w:bCs w:val="false"/>
          <w:i w:val="false"/>
          <w:iCs w:val="false"/>
          <w:color w:val="1A1A1A"/>
          <w:sz w:val="20"/>
          <w:szCs w:val="20"/>
        </w:rPr>
        <w:t xml:space="preserve">stephanie.onuoha.9@gmail.com  |  linkedin.com/in/stephanie-onuoha</w:t>
      </w:r>
    </w:p>
    <w:p>
      <w:pPr>
        <w:spacing w:after="120" w:before="0"/>
      </w:pPr>
      <w:r>
        <w:rPr>
          <w:rFonts w:ascii="Arial" w:cs="Arial" w:eastAsia="Arial" w:hAnsi="Arial"/>
          <w:color w:val="1A1A1A"/>
          <w:sz w:val="20"/>
          <w:szCs w:val="20"/>
        </w:rPr>
        <w:t xml:space="preserve"/>
      </w:r>
    </w:p>
    <w:p>
      <w:pPr>
        <w:spacing w:after="120" w:before="0"/>
      </w:pPr>
      <w:r>
        <w:rPr>
          <w:rFonts w:ascii="Arial" w:cs="Arial" w:eastAsia="Arial" w:hAnsi="Arial"/>
          <w:b w:val="false"/>
          <w:bCs w:val="false"/>
          <w:i/>
          <w:iCs/>
          <w:color w:val="888888"/>
          <w:sz w:val="18"/>
          <w:szCs w:val="18"/>
        </w:rPr>
        <w:t xml:space="preserve">Version 1.0  |  June 2026  |  CONFIDENTIAL — CareForward Group Internal Use Only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BD0" w:sz="2" w:space="1"/>
      </w:pBdr>
      <w:spacing w:after="0" w:before="80"/>
      <w:jc w:val="center"/>
    </w:pPr>
    <w:r>
      <w:rPr>
        <w:rFonts w:ascii="Arial" w:cs="Arial" w:eastAsia="Arial" w:hAnsi="Arial"/>
        <w:color w:val="888888"/>
        <w:sz w:val="16"/>
        <w:szCs w:val="16"/>
      </w:rPr>
      <w:t xml:space="preserve">Author: Stephanie Onuoha  |  June 2026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7ABF" w:sz="4" w:space="1"/>
      </w:pBdr>
      <w:spacing w:after="80" w:before="0"/>
      <w:jc w:val="right"/>
    </w:pPr>
    <w:r>
      <w:rPr>
        <w:rFonts w:ascii="Arial" w:cs="Arial" w:eastAsia="Arial" w:hAnsi="Arial"/>
        <w:color w:val="888888"/>
        <w:sz w:val="16"/>
        <w:szCs w:val="16"/>
      </w:rPr>
      <w:t xml:space="preserve">CareForward Group  |  AI Automation Business Case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D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2026-06-20T12:34:08.765Z</dcterms:created>
  <dcterms:modified xsi:type="dcterms:W3CDTF">2026-06-20T12:34:08.776Z</dcterms:modified>
</cp:coreProperties>
</file>

<file path=docProps/custom.xml><?xml version="1.0" encoding="utf-8"?>
<Properties xmlns="http://schemas.openxmlformats.org/officeDocument/2006/custom-properties" xmlns:vt="http://schemas.openxmlformats.org/officeDocument/2006/docPropsVTypes"/>
</file>