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AI AUTOMATION BUSINESS CASE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0C4F0"/>
                <w:sz w:val="52"/>
                <w:szCs w:val="52"/>
              </w:rPr>
              <w:t xml:space="preserve">CareForward Group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0C4F0"/>
                <w:sz w:val="20"/>
                <w:szCs w:val="20"/>
              </w:rPr>
              <w:t xml:space="preserve">Identifying, quantifying and prioritising AI automation opportunities in social care operations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C0D0E8"/>
                <w:sz w:val="17"/>
                <w:szCs w:val="17"/>
              </w:rPr>
              <w:t xml:space="preserve">Author: Stephanie Onuoha  |  MSc AI and Data Science, University of Hull  |  June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D0E8"/>
                <w:sz w:val="17"/>
                <w:szCs w:val="17"/>
              </w:rPr>
              <w:t xml:space="preserve">Research: LogAE-XGBoost-SHAP Federated Model  |  0.95 Accuracy  |  0.99 AUC  |  SHAP Stability 0.9934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72 hrs/week</w:t>
            </w:r>
          </w:p>
        </w:tc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1A3A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80%</w:t>
            </w:r>
          </w:p>
        </w:tc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1A3A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£160K</w:t>
            </w:r>
          </w:p>
        </w:tc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0.99 AUC</w:t>
            </w:r>
          </w:p>
        </w:tc>
      </w:tr>
      <w:tr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D7A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F4FA"/>
                <w:sz w:val="16"/>
                <w:szCs w:val="16"/>
              </w:rPr>
              <w:t xml:space="preserve">Admin lost per week</w:t>
            </w:r>
          </w:p>
        </w:tc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D7A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F4FA"/>
                <w:sz w:val="16"/>
                <w:szCs w:val="16"/>
              </w:rPr>
              <w:t xml:space="preserve">Logging time reduction</w:t>
            </w:r>
          </w:p>
        </w:tc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D7A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F4FA"/>
                <w:sz w:val="16"/>
                <w:szCs w:val="16"/>
              </w:rPr>
              <w:t xml:space="preserve">Annual value per home</w:t>
            </w:r>
          </w:p>
        </w:tc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D7A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F4FA"/>
                <w:sz w:val="16"/>
                <w:szCs w:val="16"/>
              </w:rPr>
              <w:t xml:space="preserve">Model performance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The Problem</w:t>
      </w:r>
    </w:p>
    <w:p>
      <w:pPr>
        <w:pBdr>
          <w:bottom w:val="single" w:color="9A1C1C" w:sz="4" w:space="1"/>
        </w:pBdr>
        <w:spacing w:after="120" w:before="12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Borders>
              <w:top w:val="single" w:color="E8AAAA" w:sz="1"/>
              <w:left w:val="single" w:color="9A1C1C" w:sz="12"/>
              <w:bottom w:val="single" w:color="E8AAAA" w:sz="1"/>
              <w:right w:val="single" w:color="E8AAAA" w:sz="1"/>
            </w:tcBorders>
            <w:shd w:fill="FD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CareForward Group support workers spend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1C1C"/>
                <w:sz w:val="20"/>
                <w:szCs w:val="20"/>
              </w:rPr>
              <w:t xml:space="preserve">40 to 72 hours per week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on manual administrative logging across a three-shift team. Staff dedicate 5 to 15 minutes every hour to device logging, competing directly with care delivery. The most consistent staff feedback: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1C1C"/>
                <w:sz w:val="20"/>
                <w:szCs w:val="20"/>
              </w:rPr>
              <w:t xml:space="preserve">"more time logging than with people."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Medication records carry the highest error risk. Early health deterioration is detected informally and lost between shifts.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Four AI Opportunities</w:t>
      </w:r>
    </w:p>
    <w:p>
      <w:pPr>
        <w:pBdr>
          <w:bottom w:val="single" w:color="3D7ABF" w:sz="4" w:space="1"/>
        </w:pBdr>
        <w:spacing w:after="120" w:before="12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51"/>
        <w:gridCol w:w="2451"/>
        <w:gridCol w:w="2051"/>
        <w:gridCol w:w="1451"/>
      </w:tblGrid>
      <w:tr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Research Basis</w:t>
            </w:r>
          </w:p>
        </w:tc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1E6B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1C1C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1C1C"/>
                <w:sz w:val="18"/>
                <w:szCs w:val="18"/>
              </w:rPr>
              <w:t xml:space="preserve">Voice-to-Text
Care Logging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Staff speak observations. AI transcribes to correct log category. Human confirms before saving.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2D8E"/>
                <w:sz w:val="18"/>
                <w:szCs w:val="18"/>
              </w:rPr>
              <w:t xml:space="preserve">SHAP 0.9934 stability. Every entry traceable. CQC-auditable.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47"/>
                <w:sz w:val="18"/>
                <w:szCs w:val="18"/>
              </w:rPr>
              <w:t xml:space="preserve">80% logging time reduction. £18,720-46,800/yr</w:t>
            </w:r>
          </w:p>
        </w:tc>
      </w:tr>
      <w:tr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1C1C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1C1C"/>
                <w:sz w:val="18"/>
                <w:szCs w:val="18"/>
              </w:rPr>
              <w:t xml:space="preserve">Medication Error
Prevention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 pre-check against all directives. MAR completeness flag. Refusal tracking. Dual-witness unchanged.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2D8E"/>
                <w:sz w:val="18"/>
                <w:szCs w:val="18"/>
              </w:rPr>
              <w:t xml:space="preserve">LogAE anomaly detection. F1 greater than 0.90 under 30% corruption.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47"/>
                <w:sz w:val="18"/>
                <w:szCs w:val="18"/>
              </w:rPr>
              <w:t xml:space="preserve">60-80% error reduction. ROI greater than 10:1</w:t>
            </w:r>
          </w:p>
        </w:tc>
      </w:tr>
      <w:tr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Early Deterioration
Detection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Baseline model per service user. Deviation triggers early advisory alert. Human decides action.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2D8E"/>
                <w:sz w:val="18"/>
                <w:szCs w:val="18"/>
              </w:rPr>
              <w:t xml:space="preserve">Direct dissertation application. 0.95 accuracy, 0.99 AUC. SHAP explains every flag.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47"/>
                <w:sz w:val="18"/>
                <w:szCs w:val="18"/>
              </w:rPr>
              <w:t xml:space="preserve">40-60% earlier intervention. £5-7.5K/month avoided admissions</w:t>
            </w:r>
          </w:p>
        </w:tc>
      </w:tr>
      <w:tr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47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47"/>
                <w:sz w:val="18"/>
                <w:szCs w:val="18"/>
              </w:rPr>
              <w:t xml:space="preserve">AI Handover
Summaries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 compiles shift logs into structured template. SHAP surfaces priority items. Staff sign off.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2D8E"/>
                <w:sz w:val="18"/>
                <w:szCs w:val="18"/>
              </w:rPr>
              <w:t xml:space="preserve">NLP summarisation. SHAP-prioritised content. Best pilot candidate.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47"/>
                <w:sz w:val="18"/>
                <w:szCs w:val="18"/>
              </w:rPr>
              <w:t xml:space="preserve">15-30 min to 3-5 min. £6,240-15,600/yr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Return on Investment</w:t>
      </w:r>
    </w:p>
    <w:p>
      <w:pPr>
        <w:pBdr>
          <w:bottom w:val="single" w:color="1E6B47" w:sz="4" w:space="1"/>
        </w:pBdr>
        <w:spacing w:after="120" w:before="12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1"/>
        <w:gridCol w:w="3401"/>
        <w:gridCol w:w="3402"/>
      </w:tblGrid>
      <w:tr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1E6B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£40K-£70K
Annual Labour Saving</w:t>
            </w:r>
          </w:p>
        </w:tc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1E6B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£60K-£90K
NHS Cost Avoidance</w:t>
            </w:r>
          </w:p>
        </w:tc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£100K-£160K
Total Annual Value</w:t>
            </w:r>
          </w:p>
        </w:tc>
      </w:tr>
      <w:tr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6B47"/>
                <w:sz w:val="17"/>
                <w:szCs w:val="17"/>
              </w:rPr>
              <w:t xml:space="preserve">Per home across all four opportunities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6B47"/>
                <w:sz w:val="17"/>
                <w:szCs w:val="17"/>
              </w:rPr>
              <w:t xml:space="preserve">Avoided emergency admissions per home per year</w:t>
            </w:r>
          </w:p>
        </w:tc>
        <w:tc>
          <w:tcPr>
            <w:tcBorders>
              <w:top w:val="single" w:color="E0DBD0" w:sz="1"/>
              <w:left w:val="single" w:color="E0DBD0" w:sz="1"/>
              <w:bottom w:val="single" w:color="E0DBD0" w:sz="1"/>
              <w:right w:val="single" w:color="E0DBD0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6B47"/>
                <w:sz w:val="17"/>
                <w:szCs w:val="17"/>
              </w:rPr>
              <w:t xml:space="preserve">Labour savings plus clinical impact combined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Governance Principle</w:t>
      </w:r>
    </w:p>
    <w:p>
      <w:pPr>
        <w:pBdr>
          <w:bottom w:val="single" w:color="5B2D8E" w:sz="4" w:space="1"/>
        </w:pBdr>
        <w:spacing w:after="120" w:before="12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Borders>
              <w:top w:val="single" w:color="C4A8EC" w:sz="1"/>
              <w:left w:val="single" w:color="5B2D8E" w:sz="12"/>
              <w:bottom w:val="single" w:color="C4A8EC" w:sz="1"/>
              <w:right w:val="single" w:color="C4A8EC" w:sz="1"/>
            </w:tcBorders>
            <w:shd w:fill="F0E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20"/>
                <w:szCs w:val="20"/>
              </w:rPr>
              <w:t xml:space="preserve">Every AI workflow has a named human owner, a review checkpoint, and a full audit trail.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2D8E"/>
                <w:sz w:val="20"/>
                <w:szCs w:val="20"/>
              </w:rPr>
              <w:t xml:space="preserve">AI assists. Humans decide. SHAP explainability ensures every flag is auditable by CQC inspectors. The federated architecture ensures no individual health data ever leaves the care home server.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E0DBD0" w:sz="4" w:space="1"/>
        </w:pBdr>
        <w:spacing w:after="120" w:before="12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Stephanie Onuoha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|  BEng Computer Engineering  |  MSc AI and Data Science (University of Hull)  |  Business Analyst and UAT Tester  |  June 2026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7ABF"/>
          <w:sz w:val="17"/>
          <w:szCs w:val="17"/>
        </w:rPr>
        <w:t xml:space="preserve">stephanie.onuoha.9@gmail.com  |  linkedin.com/in/stephanie-onuoha</w:t>
      </w:r>
    </w:p>
    <w:sectPr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D1B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2026-06-22T12:42:57.652Z</dcterms:created>
  <dcterms:modified xsi:type="dcterms:W3CDTF">2026-06-22T12:42:57.669Z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