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8E926" w14:textId="77777777" w:rsidR="00484D2B" w:rsidRPr="00484D2B" w:rsidRDefault="005B34BF" w:rsidP="00484D2B">
      <w:pPr>
        <w:jc w:val="both"/>
        <w:rPr>
          <w:rFonts w:ascii="Arial" w:hAnsi="Arial" w:cs="Arial"/>
          <w:b/>
          <w:bCs/>
          <w:sz w:val="20"/>
          <w:szCs w:val="20"/>
          <w:lang w:val="en-US"/>
        </w:rPr>
      </w:pPr>
      <w:r w:rsidRPr="00D5019F">
        <w:rPr>
          <w:rFonts w:ascii="Arial" w:hAnsi="Arial" w:cs="Arial"/>
          <w:b/>
          <w:bCs/>
          <w:sz w:val="20"/>
          <w:szCs w:val="20"/>
        </w:rPr>
        <w:t xml:space="preserve">Read </w:t>
      </w:r>
      <w:r w:rsidR="000F65AA" w:rsidRPr="00D5019F">
        <w:rPr>
          <w:rFonts w:ascii="Arial" w:hAnsi="Arial" w:cs="Arial"/>
          <w:b/>
          <w:bCs/>
          <w:sz w:val="20"/>
          <w:szCs w:val="20"/>
        </w:rPr>
        <w:t>M</w:t>
      </w:r>
      <w:r w:rsidRPr="00D5019F">
        <w:rPr>
          <w:rFonts w:ascii="Arial" w:hAnsi="Arial" w:cs="Arial"/>
          <w:b/>
          <w:bCs/>
          <w:sz w:val="20"/>
          <w:szCs w:val="20"/>
        </w:rPr>
        <w:t>e file: MARC SE-Africa Dashboard</w:t>
      </w:r>
      <w:r w:rsidR="00484D2B">
        <w:rPr>
          <w:rFonts w:ascii="Arial" w:hAnsi="Arial" w:cs="Arial"/>
          <w:b/>
          <w:bCs/>
          <w:sz w:val="20"/>
          <w:szCs w:val="20"/>
        </w:rPr>
        <w:t xml:space="preserve">: </w:t>
      </w:r>
      <w:r w:rsidR="00484D2B" w:rsidRPr="00484D2B">
        <w:rPr>
          <w:rFonts w:ascii="Arial" w:hAnsi="Arial" w:cs="Arial"/>
          <w:b/>
          <w:bCs/>
          <w:sz w:val="20"/>
          <w:szCs w:val="20"/>
          <w:lang w:val="en-US"/>
        </w:rPr>
        <w:t>Antimalarial Drug Resistance</w:t>
      </w:r>
    </w:p>
    <w:p w14:paraId="5345A31F" w14:textId="707545C5" w:rsidR="00506E05" w:rsidRPr="00D5019F" w:rsidRDefault="00506E05" w:rsidP="00D5019F">
      <w:pPr>
        <w:jc w:val="both"/>
        <w:rPr>
          <w:rFonts w:ascii="Arial" w:hAnsi="Arial" w:cs="Arial"/>
          <w:b/>
          <w:bCs/>
          <w:sz w:val="20"/>
          <w:szCs w:val="20"/>
        </w:rPr>
      </w:pPr>
    </w:p>
    <w:p w14:paraId="17DC795C" w14:textId="6BF68975" w:rsidR="00484D2B" w:rsidRPr="00484D2B" w:rsidRDefault="00484D2B" w:rsidP="00D5019F">
      <w:pPr>
        <w:jc w:val="both"/>
        <w:rPr>
          <w:rFonts w:ascii="Arial" w:hAnsi="Arial" w:cs="Arial"/>
          <w:b/>
          <w:bCs/>
          <w:sz w:val="20"/>
          <w:szCs w:val="20"/>
        </w:rPr>
      </w:pPr>
      <w:r w:rsidRPr="00484D2B">
        <w:rPr>
          <w:rFonts w:ascii="Arial" w:hAnsi="Arial" w:cs="Arial"/>
          <w:b/>
          <w:bCs/>
          <w:sz w:val="20"/>
          <w:szCs w:val="20"/>
        </w:rPr>
        <w:t>Introduction</w:t>
      </w:r>
    </w:p>
    <w:p w14:paraId="530375EF" w14:textId="17C4A725" w:rsidR="005B34BF" w:rsidRDefault="007E0C7F" w:rsidP="00D5019F">
      <w:pPr>
        <w:jc w:val="both"/>
        <w:rPr>
          <w:rFonts w:ascii="Arial" w:hAnsi="Arial" w:cs="Arial"/>
          <w:sz w:val="20"/>
          <w:szCs w:val="20"/>
        </w:rPr>
      </w:pPr>
      <w:r w:rsidRPr="008D288C">
        <w:rPr>
          <w:rFonts w:ascii="Arial" w:hAnsi="Arial" w:cs="Arial"/>
          <w:sz w:val="20"/>
          <w:szCs w:val="20"/>
        </w:rPr>
        <w:t xml:space="preserve">The regions of Southern and Eastern Africa bear some of the highest global burdens of malaria. Understanding the spatiotemporal changes underlying the emergence of partial antimalarial resistance and how to mitigate it remains paramount in these areas. </w:t>
      </w:r>
      <w:r w:rsidR="00D5019F">
        <w:rPr>
          <w:rFonts w:ascii="Arial" w:hAnsi="Arial" w:cs="Arial"/>
          <w:sz w:val="20"/>
          <w:szCs w:val="20"/>
        </w:rPr>
        <w:t xml:space="preserve">To empower </w:t>
      </w:r>
      <w:r w:rsidR="00484D2B">
        <w:rPr>
          <w:rFonts w:ascii="Arial" w:hAnsi="Arial" w:cs="Arial"/>
          <w:sz w:val="20"/>
          <w:szCs w:val="20"/>
        </w:rPr>
        <w:t>users</w:t>
      </w:r>
      <w:r w:rsidR="00D5019F">
        <w:rPr>
          <w:rFonts w:ascii="Arial" w:hAnsi="Arial" w:cs="Arial"/>
          <w:sz w:val="20"/>
          <w:szCs w:val="20"/>
        </w:rPr>
        <w:t xml:space="preserve"> in this crucial task, we present the MARC SE-Africa Dashboard, developed by the Mitigating Antimalarial Resistance Consortium</w:t>
      </w:r>
      <w:r w:rsidR="00B3478D">
        <w:rPr>
          <w:rFonts w:ascii="Arial" w:hAnsi="Arial" w:cs="Arial"/>
          <w:sz w:val="20"/>
          <w:szCs w:val="20"/>
        </w:rPr>
        <w:t xml:space="preserve"> for South and East Africa</w:t>
      </w:r>
      <w:r w:rsidR="00D5019F">
        <w:rPr>
          <w:rFonts w:ascii="Arial" w:hAnsi="Arial" w:cs="Arial"/>
          <w:sz w:val="20"/>
          <w:szCs w:val="20"/>
        </w:rPr>
        <w:t>. This dashboard is designed to enhance the capacity of national malaria control programs and stakeholders by providing</w:t>
      </w:r>
      <w:r w:rsidRPr="008D288C">
        <w:rPr>
          <w:rFonts w:ascii="Arial" w:hAnsi="Arial" w:cs="Arial"/>
          <w:sz w:val="20"/>
          <w:szCs w:val="20"/>
        </w:rPr>
        <w:t xml:space="preserve"> dynamic updates on components central to data-driven public health responses in 1</w:t>
      </w:r>
      <w:r w:rsidR="00B3478D">
        <w:rPr>
          <w:rFonts w:ascii="Arial" w:hAnsi="Arial" w:cs="Arial"/>
          <w:sz w:val="20"/>
          <w:szCs w:val="20"/>
        </w:rPr>
        <w:t>9</w:t>
      </w:r>
      <w:r w:rsidRPr="008D288C">
        <w:rPr>
          <w:rFonts w:ascii="Arial" w:hAnsi="Arial" w:cs="Arial"/>
          <w:sz w:val="20"/>
          <w:szCs w:val="20"/>
        </w:rPr>
        <w:t xml:space="preserve"> malaria-endemic countries</w:t>
      </w:r>
      <w:r w:rsidR="00B3478D">
        <w:rPr>
          <w:rFonts w:ascii="Arial" w:hAnsi="Arial" w:cs="Arial"/>
          <w:sz w:val="20"/>
          <w:szCs w:val="20"/>
        </w:rPr>
        <w:t>, representing 20 profiles</w:t>
      </w:r>
      <w:r>
        <w:rPr>
          <w:rFonts w:ascii="Arial" w:hAnsi="Arial" w:cs="Arial"/>
          <w:sz w:val="20"/>
          <w:szCs w:val="20"/>
        </w:rPr>
        <w:t>.</w:t>
      </w:r>
    </w:p>
    <w:p w14:paraId="2DEF33FF" w14:textId="508F0AAC" w:rsidR="00B3478D" w:rsidRDefault="00B3478D" w:rsidP="00D5019F">
      <w:pPr>
        <w:jc w:val="both"/>
        <w:rPr>
          <w:rFonts w:ascii="Arial" w:hAnsi="Arial" w:cs="Arial"/>
          <w:sz w:val="20"/>
          <w:szCs w:val="20"/>
        </w:rPr>
      </w:pPr>
      <w:r>
        <w:rPr>
          <w:rFonts w:ascii="Arial" w:hAnsi="Arial" w:cs="Arial"/>
          <w:sz w:val="20"/>
          <w:szCs w:val="20"/>
        </w:rPr>
        <w:t>For more information visit our website (</w:t>
      </w:r>
      <w:r w:rsidRPr="00B3478D">
        <w:rPr>
          <w:rFonts w:ascii="Arial" w:hAnsi="Arial" w:cs="Arial"/>
          <w:sz w:val="20"/>
          <w:szCs w:val="20"/>
        </w:rPr>
        <w:t>https://www.marcse-africa.org/</w:t>
      </w:r>
      <w:r>
        <w:rPr>
          <w:rFonts w:ascii="Arial" w:hAnsi="Arial" w:cs="Arial"/>
          <w:sz w:val="20"/>
          <w:szCs w:val="20"/>
        </w:rPr>
        <w:t xml:space="preserve">) or contact us via </w:t>
      </w:r>
      <w:hyperlink r:id="rId5" w:tgtFrame="_blank" w:history="1">
        <w:r w:rsidRPr="00B3478D">
          <w:rPr>
            <w:rStyle w:val="Hyperlink"/>
            <w:rFonts w:ascii="Arial" w:hAnsi="Arial" w:cs="Arial"/>
            <w:sz w:val="20"/>
            <w:szCs w:val="20"/>
          </w:rPr>
          <w:t>marcseafrica@uct.ac.za</w:t>
        </w:r>
      </w:hyperlink>
    </w:p>
    <w:p w14:paraId="0D47D50A" w14:textId="77777777" w:rsidR="00B3478D" w:rsidRDefault="00B3478D" w:rsidP="00D5019F">
      <w:pPr>
        <w:jc w:val="both"/>
        <w:rPr>
          <w:rFonts w:ascii="Arial" w:hAnsi="Arial" w:cs="Arial"/>
          <w:sz w:val="20"/>
          <w:szCs w:val="20"/>
        </w:rPr>
      </w:pPr>
    </w:p>
    <w:p w14:paraId="45E24788" w14:textId="71BE28D1" w:rsidR="007E0C7F" w:rsidRPr="00D5019F" w:rsidRDefault="00484D2B" w:rsidP="00D5019F">
      <w:pPr>
        <w:jc w:val="both"/>
        <w:rPr>
          <w:rFonts w:ascii="Arial" w:hAnsi="Arial" w:cs="Arial"/>
          <w:b/>
          <w:bCs/>
          <w:sz w:val="20"/>
          <w:szCs w:val="20"/>
        </w:rPr>
      </w:pPr>
      <w:r>
        <w:rPr>
          <w:rFonts w:ascii="Arial" w:hAnsi="Arial" w:cs="Arial"/>
          <w:b/>
          <w:bCs/>
          <w:sz w:val="20"/>
          <w:szCs w:val="20"/>
        </w:rPr>
        <w:t>I</w:t>
      </w:r>
      <w:r w:rsidR="007E0C7F" w:rsidRPr="00D5019F">
        <w:rPr>
          <w:rFonts w:ascii="Arial" w:hAnsi="Arial" w:cs="Arial"/>
          <w:b/>
          <w:bCs/>
          <w:sz w:val="20"/>
          <w:szCs w:val="20"/>
        </w:rPr>
        <w:t>nformation on the dashboard and the data presented on this site:</w:t>
      </w:r>
    </w:p>
    <w:p w14:paraId="689E58E2" w14:textId="6C044BD5" w:rsidR="007E0C7F" w:rsidRPr="00D5019F" w:rsidRDefault="007E0C7F" w:rsidP="00D5019F">
      <w:pPr>
        <w:jc w:val="both"/>
        <w:rPr>
          <w:rFonts w:ascii="Arial" w:hAnsi="Arial" w:cs="Arial"/>
          <w:b/>
          <w:bCs/>
          <w:sz w:val="20"/>
          <w:szCs w:val="20"/>
        </w:rPr>
      </w:pPr>
      <w:r w:rsidRPr="00D5019F">
        <w:rPr>
          <w:rFonts w:ascii="Arial" w:hAnsi="Arial" w:cs="Arial"/>
          <w:b/>
          <w:bCs/>
          <w:sz w:val="20"/>
          <w:szCs w:val="20"/>
        </w:rPr>
        <w:t>Useful links and resources</w:t>
      </w:r>
    </w:p>
    <w:p w14:paraId="426E5D0B" w14:textId="7E8D37CA" w:rsidR="007E0C7F" w:rsidRDefault="007E0C7F" w:rsidP="00D5019F">
      <w:pPr>
        <w:pStyle w:val="ListParagraph"/>
        <w:jc w:val="both"/>
        <w:rPr>
          <w:rFonts w:ascii="Arial" w:hAnsi="Arial" w:cs="Arial"/>
          <w:sz w:val="20"/>
          <w:szCs w:val="20"/>
        </w:rPr>
      </w:pPr>
      <w:r w:rsidRPr="007E0C7F">
        <w:rPr>
          <w:rFonts w:ascii="Arial" w:hAnsi="Arial" w:cs="Arial"/>
          <w:sz w:val="20"/>
          <w:szCs w:val="20"/>
        </w:rPr>
        <w:t xml:space="preserve">For a </w:t>
      </w:r>
      <w:r w:rsidR="00D5019F">
        <w:rPr>
          <w:rFonts w:ascii="Arial" w:hAnsi="Arial" w:cs="Arial"/>
          <w:sz w:val="20"/>
          <w:szCs w:val="20"/>
        </w:rPr>
        <w:t xml:space="preserve">more in-depth understanding of antimalarial resistance and references to the presented results, we encourage you to explore the country profiles compiled for the </w:t>
      </w:r>
      <w:r w:rsidR="00B3478D">
        <w:rPr>
          <w:rFonts w:ascii="Arial" w:hAnsi="Arial" w:cs="Arial"/>
          <w:sz w:val="20"/>
          <w:szCs w:val="20"/>
        </w:rPr>
        <w:t>20</w:t>
      </w:r>
      <w:r w:rsidR="00D5019F">
        <w:rPr>
          <w:rFonts w:ascii="Arial" w:hAnsi="Arial" w:cs="Arial"/>
          <w:sz w:val="20"/>
          <w:szCs w:val="20"/>
        </w:rPr>
        <w:t xml:space="preserve"> malaria-endemic </w:t>
      </w:r>
      <w:r w:rsidR="00B3478D">
        <w:rPr>
          <w:rFonts w:ascii="Arial" w:hAnsi="Arial" w:cs="Arial"/>
          <w:sz w:val="20"/>
          <w:szCs w:val="20"/>
        </w:rPr>
        <w:t>profiles</w:t>
      </w:r>
      <w:r w:rsidR="00D5019F">
        <w:rPr>
          <w:rFonts w:ascii="Arial" w:hAnsi="Arial" w:cs="Arial"/>
          <w:sz w:val="20"/>
          <w:szCs w:val="20"/>
        </w:rPr>
        <w:t xml:space="preserve"> (</w:t>
      </w:r>
      <w:r w:rsidR="00D5019F">
        <w:t>https://www.marcse-africa.org/downloads)</w:t>
      </w:r>
      <w:r w:rsidR="00D5019F">
        <w:rPr>
          <w:rFonts w:ascii="Arial" w:hAnsi="Arial" w:cs="Arial"/>
          <w:sz w:val="20"/>
          <w:szCs w:val="20"/>
        </w:rPr>
        <w:t xml:space="preserve">. </w:t>
      </w:r>
      <w:r w:rsidR="00000D18">
        <w:rPr>
          <w:rFonts w:ascii="Arial" w:hAnsi="Arial" w:cs="Arial"/>
          <w:sz w:val="20"/>
          <w:szCs w:val="20"/>
        </w:rPr>
        <w:t>The links below provide access to these resources and more on malaria treatment policies, molecular marker prevalence, literature on the malaria burden per country, and Therapeutic Efficacy Study (TES) outcomes</w:t>
      </w:r>
      <w:r w:rsidR="000F65AA">
        <w:rPr>
          <w:rFonts w:ascii="Arial" w:hAnsi="Arial" w:cs="Arial"/>
          <w:sz w:val="20"/>
          <w:szCs w:val="20"/>
        </w:rPr>
        <w:t>.</w:t>
      </w:r>
    </w:p>
    <w:p w14:paraId="12CAEC7C" w14:textId="77777777" w:rsidR="0093696E" w:rsidRPr="007E0C7F" w:rsidRDefault="0093696E" w:rsidP="00D5019F">
      <w:pPr>
        <w:pStyle w:val="ListParagraph"/>
        <w:jc w:val="both"/>
      </w:pPr>
    </w:p>
    <w:p w14:paraId="5E559BAE" w14:textId="77777777" w:rsidR="007E0C7F" w:rsidRDefault="007E0C7F" w:rsidP="00D5019F">
      <w:pPr>
        <w:pStyle w:val="ListParagraph"/>
        <w:numPr>
          <w:ilvl w:val="1"/>
          <w:numId w:val="1"/>
        </w:numPr>
        <w:jc w:val="both"/>
      </w:pPr>
      <w:r>
        <w:t>MARC SE-Africa</w:t>
      </w:r>
      <w:r>
        <w:tab/>
        <w:t>https://www.marcse-africa.org/</w:t>
      </w:r>
    </w:p>
    <w:p w14:paraId="15424100" w14:textId="77777777" w:rsidR="007E0C7F" w:rsidRDefault="007E0C7F" w:rsidP="00D5019F">
      <w:pPr>
        <w:pStyle w:val="ListParagraph"/>
        <w:numPr>
          <w:ilvl w:val="1"/>
          <w:numId w:val="1"/>
        </w:numPr>
        <w:jc w:val="both"/>
      </w:pPr>
      <w:r>
        <w:t>MARC SE-Africa country profiles</w:t>
      </w:r>
      <w:r>
        <w:tab/>
        <w:t>https://www.marcse-africa.org/downloads</w:t>
      </w:r>
    </w:p>
    <w:p w14:paraId="29C447DC" w14:textId="25225664" w:rsidR="007E0C7F" w:rsidRDefault="007E0C7F" w:rsidP="00D5019F">
      <w:pPr>
        <w:pStyle w:val="ListParagraph"/>
        <w:numPr>
          <w:ilvl w:val="1"/>
          <w:numId w:val="1"/>
        </w:numPr>
        <w:jc w:val="both"/>
      </w:pPr>
      <w:r>
        <w:t>WWARN</w:t>
      </w:r>
      <w:r>
        <w:tab/>
      </w:r>
      <w:r w:rsidR="00484D2B" w:rsidRPr="00484D2B">
        <w:t>https://www.iddo.org/wwarn/tools-resources/kelch-markers-toolkit</w:t>
      </w:r>
    </w:p>
    <w:p w14:paraId="6A0598DD" w14:textId="77777777" w:rsidR="007E0C7F" w:rsidRDefault="007E0C7F" w:rsidP="00D5019F">
      <w:pPr>
        <w:pStyle w:val="ListParagraph"/>
        <w:numPr>
          <w:ilvl w:val="1"/>
          <w:numId w:val="1"/>
        </w:numPr>
        <w:jc w:val="both"/>
      </w:pPr>
      <w:r>
        <w:t>PMI</w:t>
      </w:r>
      <w:r>
        <w:tab/>
        <w:t>https://www.pmi.gov/country-profiles-2024/</w:t>
      </w:r>
    </w:p>
    <w:p w14:paraId="172816AB" w14:textId="302F2467" w:rsidR="007E0C7F" w:rsidRDefault="007E0C7F" w:rsidP="00D5019F">
      <w:pPr>
        <w:pStyle w:val="ListParagraph"/>
        <w:numPr>
          <w:ilvl w:val="1"/>
          <w:numId w:val="1"/>
        </w:numPr>
        <w:jc w:val="both"/>
      </w:pPr>
      <w:r>
        <w:t>WHO Threat</w:t>
      </w:r>
      <w:r w:rsidR="000F65AA">
        <w:t xml:space="preserve"> M</w:t>
      </w:r>
      <w:r>
        <w:t>aps</w:t>
      </w:r>
      <w:r>
        <w:tab/>
        <w:t>https://apps.who.int/malaria/maps/threats/</w:t>
      </w:r>
    </w:p>
    <w:p w14:paraId="77FA58F0" w14:textId="77777777" w:rsidR="007E0C7F" w:rsidRDefault="007E0C7F" w:rsidP="00D5019F">
      <w:pPr>
        <w:pStyle w:val="ListParagraph"/>
        <w:numPr>
          <w:ilvl w:val="1"/>
          <w:numId w:val="1"/>
        </w:numPr>
        <w:jc w:val="both"/>
      </w:pPr>
      <w:r>
        <w:t>World Malaria Report</w:t>
      </w:r>
      <w:r>
        <w:tab/>
        <w:t>https://www.who.int/teams/global-malaria-programme/reports/world-malaria-report-2023</w:t>
      </w:r>
    </w:p>
    <w:p w14:paraId="112FDF21" w14:textId="5D8C6B74" w:rsidR="007E0C7F" w:rsidRDefault="007E0C7F" w:rsidP="00D5019F">
      <w:pPr>
        <w:pStyle w:val="ListParagraph"/>
        <w:numPr>
          <w:ilvl w:val="1"/>
          <w:numId w:val="1"/>
        </w:numPr>
        <w:jc w:val="both"/>
      </w:pPr>
      <w:r>
        <w:t>MRCSA</w:t>
      </w:r>
      <w:r>
        <w:tab/>
      </w:r>
      <w:r>
        <w:tab/>
      </w:r>
      <w:hyperlink r:id="rId6" w:history="1">
        <w:r w:rsidR="00B3478D" w:rsidRPr="0044453F">
          <w:rPr>
            <w:rStyle w:val="Hyperlink"/>
          </w:rPr>
          <w:t>https://www.samrc.ac.za/research/centre-and-platforms-office/malaria-research-group</w:t>
        </w:r>
      </w:hyperlink>
    </w:p>
    <w:p w14:paraId="0FCAD2B1" w14:textId="1E2F521D" w:rsidR="00B3478D" w:rsidRDefault="00B3478D" w:rsidP="00D5019F">
      <w:pPr>
        <w:pStyle w:val="ListParagraph"/>
        <w:numPr>
          <w:ilvl w:val="1"/>
          <w:numId w:val="1"/>
        </w:numPr>
        <w:jc w:val="both"/>
      </w:pPr>
      <w:r>
        <w:t xml:space="preserve">Roll Back Malaria Partnership to End Malaria Dashboard: </w:t>
      </w:r>
      <w:r w:rsidRPr="00B3478D">
        <w:t>https://dashboards.endmalaria.org/dashboard</w:t>
      </w:r>
    </w:p>
    <w:p w14:paraId="5ECE7DF6" w14:textId="1558E1B3" w:rsidR="000F65AA" w:rsidRPr="00EE4727" w:rsidRDefault="000F65AA" w:rsidP="00D5019F">
      <w:pPr>
        <w:jc w:val="both"/>
        <w:rPr>
          <w:rFonts w:ascii="Arial" w:hAnsi="Arial" w:cs="Arial"/>
          <w:lang w:val="en-US"/>
        </w:rPr>
      </w:pPr>
      <w:r w:rsidRPr="00EE4727">
        <w:rPr>
          <w:rFonts w:ascii="Arial" w:hAnsi="Arial" w:cs="Arial"/>
          <w:lang w:val="en-US"/>
        </w:rPr>
        <w:t xml:space="preserve">The dashboard displays four </w:t>
      </w:r>
      <w:r w:rsidR="00484D2B">
        <w:rPr>
          <w:rFonts w:ascii="Arial" w:hAnsi="Arial" w:cs="Arial"/>
          <w:lang w:val="en-US"/>
        </w:rPr>
        <w:t>data types t</w:t>
      </w:r>
      <w:r w:rsidRPr="00EE4727">
        <w:rPr>
          <w:rFonts w:ascii="Arial" w:hAnsi="Arial" w:cs="Arial"/>
          <w:lang w:val="en-US"/>
        </w:rPr>
        <w:t>o provide an overview of malaria</w:t>
      </w:r>
      <w:r>
        <w:rPr>
          <w:rFonts w:ascii="Arial" w:hAnsi="Arial" w:cs="Arial"/>
          <w:lang w:val="en-US"/>
        </w:rPr>
        <w:t xml:space="preserve"> treatment policies, the outcomes of the most recent </w:t>
      </w:r>
      <w:r w:rsidR="00484D2B">
        <w:rPr>
          <w:rFonts w:ascii="Arial" w:hAnsi="Arial" w:cs="Arial"/>
          <w:lang w:val="en-US"/>
        </w:rPr>
        <w:t>therapeutic efficacy studies</w:t>
      </w:r>
      <w:r>
        <w:rPr>
          <w:rFonts w:ascii="Arial" w:hAnsi="Arial" w:cs="Arial"/>
          <w:lang w:val="en-US"/>
        </w:rPr>
        <w:t>, the prevalence of genetic markers of concern, and the malaria burden</w:t>
      </w:r>
      <w:r w:rsidRPr="00EE4727">
        <w:rPr>
          <w:rFonts w:ascii="Arial" w:hAnsi="Arial" w:cs="Arial"/>
          <w:lang w:val="en-US"/>
        </w:rPr>
        <w:t xml:space="preserve"> at a glance:</w:t>
      </w:r>
    </w:p>
    <w:p w14:paraId="28AEC7BB" w14:textId="77573CC0" w:rsidR="000F65AA" w:rsidRDefault="000F65AA" w:rsidP="00D5019F">
      <w:pPr>
        <w:numPr>
          <w:ilvl w:val="0"/>
          <w:numId w:val="2"/>
        </w:numPr>
        <w:jc w:val="both"/>
        <w:rPr>
          <w:rFonts w:ascii="Arial" w:hAnsi="Arial" w:cs="Arial"/>
          <w:lang w:val="en-US"/>
        </w:rPr>
      </w:pPr>
      <w:r>
        <w:rPr>
          <w:rFonts w:ascii="Arial" w:hAnsi="Arial" w:cs="Arial"/>
          <w:lang w:val="en-US"/>
        </w:rPr>
        <w:t xml:space="preserve">This dashboard includes </w:t>
      </w:r>
      <w:r w:rsidR="00B3478D">
        <w:rPr>
          <w:rFonts w:ascii="Arial" w:hAnsi="Arial" w:cs="Arial"/>
          <w:lang w:val="en-US"/>
        </w:rPr>
        <w:t>19</w:t>
      </w:r>
      <w:r w:rsidRPr="000F65AA">
        <w:rPr>
          <w:rFonts w:ascii="Arial" w:hAnsi="Arial" w:cs="Arial"/>
          <w:lang w:val="en-US"/>
        </w:rPr>
        <w:t xml:space="preserve"> malaria-endemic countries in South and East Africa. These countries include Angola, Botswana, Burundi, Comoros, Democratic Republic of Congo, Eswatini, Kenya, Madagascar, Malawi, Mozambique, Namibia, Rwanda, </w:t>
      </w:r>
      <w:r w:rsidR="00B3478D">
        <w:rPr>
          <w:rFonts w:ascii="Arial" w:hAnsi="Arial" w:cs="Arial"/>
          <w:lang w:val="en-US"/>
        </w:rPr>
        <w:t xml:space="preserve">Somolia, </w:t>
      </w:r>
      <w:r w:rsidRPr="000F65AA">
        <w:rPr>
          <w:rFonts w:ascii="Arial" w:hAnsi="Arial" w:cs="Arial"/>
          <w:lang w:val="en-US"/>
        </w:rPr>
        <w:t>South Africa, South Sudan, Tanzania (Mainland), Uganda, Zambia, and Zanzibar (Tanzania). Zanzibar is represented separately from mainland Tanzania due to its unique malaria transmission setting and elimination status.</w:t>
      </w:r>
    </w:p>
    <w:p w14:paraId="32C32AFF" w14:textId="4CF2AFB7" w:rsidR="000F65AA" w:rsidRPr="00EE4727" w:rsidRDefault="000F65AA" w:rsidP="00D5019F">
      <w:pPr>
        <w:numPr>
          <w:ilvl w:val="0"/>
          <w:numId w:val="2"/>
        </w:numPr>
        <w:jc w:val="both"/>
        <w:rPr>
          <w:rFonts w:ascii="Arial" w:hAnsi="Arial" w:cs="Arial"/>
          <w:lang w:val="en-US"/>
        </w:rPr>
      </w:pPr>
      <w:r w:rsidRPr="00EE4727">
        <w:rPr>
          <w:rFonts w:ascii="Arial" w:hAnsi="Arial" w:cs="Arial"/>
          <w:lang w:val="en-US"/>
        </w:rPr>
        <w:lastRenderedPageBreak/>
        <w:t>Therapeutic efficacy study (TES) outcomes: Day 28 and Day 42 PCR-corrected and uncorrected results</w:t>
      </w:r>
      <w:r w:rsidR="00B3478D">
        <w:rPr>
          <w:rFonts w:ascii="Arial" w:hAnsi="Arial" w:cs="Arial"/>
          <w:lang w:val="en-US"/>
        </w:rPr>
        <w:t xml:space="preserve"> of clinical trials on WHO-recommended antimalarials. This data is visualized on a </w:t>
      </w:r>
      <w:r w:rsidRPr="00EE4727">
        <w:rPr>
          <w:rFonts w:ascii="Arial" w:hAnsi="Arial" w:cs="Arial"/>
          <w:lang w:val="en-US"/>
        </w:rPr>
        <w:t xml:space="preserve">map using </w:t>
      </w:r>
      <w:r>
        <w:rPr>
          <w:rFonts w:ascii="Arial" w:hAnsi="Arial" w:cs="Arial"/>
          <w:lang w:val="en-US"/>
        </w:rPr>
        <w:t>colour-coded</w:t>
      </w:r>
      <w:r w:rsidRPr="00EE4727">
        <w:rPr>
          <w:rFonts w:ascii="Arial" w:hAnsi="Arial" w:cs="Arial"/>
          <w:lang w:val="en-US"/>
        </w:rPr>
        <w:t xml:space="preserve"> markers indicating</w:t>
      </w:r>
      <w:r w:rsidR="00B3478D">
        <w:rPr>
          <w:rFonts w:ascii="Arial" w:hAnsi="Arial" w:cs="Arial"/>
          <w:lang w:val="en-US"/>
        </w:rPr>
        <w:t xml:space="preserve"> the study outcome and</w:t>
      </w:r>
      <w:r w:rsidRPr="00EE4727">
        <w:rPr>
          <w:rFonts w:ascii="Arial" w:hAnsi="Arial" w:cs="Arial"/>
          <w:lang w:val="en-US"/>
        </w:rPr>
        <w:t xml:space="preserve"> the location of the study. Green markers represent TES outcomes above 95% efficacy</w:t>
      </w:r>
      <w:r>
        <w:rPr>
          <w:rFonts w:ascii="Arial" w:hAnsi="Arial" w:cs="Arial"/>
          <w:lang w:val="en-US"/>
        </w:rPr>
        <w:t>; orange</w:t>
      </w:r>
      <w:r w:rsidRPr="00EE4727">
        <w:rPr>
          <w:rFonts w:ascii="Arial" w:hAnsi="Arial" w:cs="Arial"/>
          <w:lang w:val="en-US"/>
        </w:rPr>
        <w:t xml:space="preserve"> markers indicate outcomes between 90-95%</w:t>
      </w:r>
      <w:r>
        <w:rPr>
          <w:rFonts w:ascii="Arial" w:hAnsi="Arial" w:cs="Arial"/>
          <w:lang w:val="en-US"/>
        </w:rPr>
        <w:t>; and</w:t>
      </w:r>
      <w:r w:rsidRPr="00EE4727">
        <w:rPr>
          <w:rFonts w:ascii="Arial" w:hAnsi="Arial" w:cs="Arial"/>
          <w:lang w:val="en-US"/>
        </w:rPr>
        <w:t xml:space="preserve"> red markers signify outcomes below 90%, the WHO-recommended threshold. The map displays the latest results of the most recent TES outcomes for each location.</w:t>
      </w:r>
      <w:r>
        <w:rPr>
          <w:rFonts w:ascii="Arial" w:hAnsi="Arial" w:cs="Arial"/>
          <w:lang w:val="en-US"/>
        </w:rPr>
        <w:t xml:space="preserve"> The TES outcomes are set by default to display the latest available results for Artemether-lumefantrine (AL), Day 28 results.</w:t>
      </w:r>
      <w:r w:rsidR="00B3478D">
        <w:rPr>
          <w:rFonts w:ascii="Arial" w:hAnsi="Arial" w:cs="Arial"/>
          <w:lang w:val="en-US"/>
        </w:rPr>
        <w:t xml:space="preserve"> However, </w:t>
      </w:r>
    </w:p>
    <w:p w14:paraId="5FF302F4" w14:textId="36C6ACD0" w:rsidR="00B83F25" w:rsidRPr="00B83F25" w:rsidRDefault="000F65AA" w:rsidP="00D5019F">
      <w:pPr>
        <w:numPr>
          <w:ilvl w:val="0"/>
          <w:numId w:val="2"/>
        </w:numPr>
        <w:jc w:val="both"/>
        <w:rPr>
          <w:rFonts w:ascii="Arial" w:hAnsi="Arial" w:cs="Arial"/>
          <w:lang w:val="en-US"/>
        </w:rPr>
      </w:pPr>
      <w:r w:rsidRPr="00EE4727">
        <w:rPr>
          <w:rFonts w:ascii="Arial" w:hAnsi="Arial" w:cs="Arial"/>
          <w:lang w:val="en-US"/>
        </w:rPr>
        <w:t xml:space="preserve">Prevalence of </w:t>
      </w:r>
      <w:r w:rsidRPr="00484D2B">
        <w:rPr>
          <w:rFonts w:ascii="Arial" w:hAnsi="Arial" w:cs="Arial"/>
          <w:i/>
          <w:iCs/>
          <w:lang w:val="en-US"/>
        </w:rPr>
        <w:t>Kelch13</w:t>
      </w:r>
      <w:r w:rsidRPr="00EE4727">
        <w:rPr>
          <w:rFonts w:ascii="Arial" w:hAnsi="Arial" w:cs="Arial"/>
          <w:lang w:val="en-US"/>
        </w:rPr>
        <w:t xml:space="preserve"> mutations: The dashboard presents the geographic distribution and prevalence of </w:t>
      </w:r>
      <w:r>
        <w:rPr>
          <w:rFonts w:ascii="Arial" w:hAnsi="Arial" w:cs="Arial"/>
          <w:lang w:val="en-US"/>
        </w:rPr>
        <w:t>WHO-</w:t>
      </w:r>
      <w:r w:rsidRPr="00EE4727">
        <w:rPr>
          <w:rFonts w:ascii="Arial" w:hAnsi="Arial" w:cs="Arial"/>
          <w:lang w:val="en-US"/>
        </w:rPr>
        <w:t xml:space="preserve">validated and </w:t>
      </w:r>
      <w:r>
        <w:rPr>
          <w:rFonts w:ascii="Arial" w:hAnsi="Arial" w:cs="Arial"/>
          <w:lang w:val="en-US"/>
        </w:rPr>
        <w:t>-</w:t>
      </w:r>
      <w:r w:rsidRPr="00EE4727">
        <w:rPr>
          <w:rFonts w:ascii="Arial" w:hAnsi="Arial" w:cs="Arial"/>
          <w:lang w:val="en-US"/>
        </w:rPr>
        <w:t xml:space="preserve">candidate </w:t>
      </w:r>
      <w:r w:rsidRPr="00484D2B">
        <w:rPr>
          <w:rFonts w:ascii="Arial" w:hAnsi="Arial" w:cs="Arial"/>
          <w:i/>
          <w:iCs/>
          <w:lang w:val="en-US"/>
        </w:rPr>
        <w:t>Kelch13</w:t>
      </w:r>
      <w:r w:rsidR="00484D2B">
        <w:rPr>
          <w:rFonts w:ascii="Arial" w:hAnsi="Arial" w:cs="Arial"/>
          <w:i/>
          <w:iCs/>
          <w:lang w:val="en-US"/>
        </w:rPr>
        <w:t xml:space="preserve"> </w:t>
      </w:r>
      <w:r w:rsidR="00484D2B" w:rsidRPr="00484D2B">
        <w:rPr>
          <w:rFonts w:ascii="Arial" w:hAnsi="Arial" w:cs="Arial"/>
          <w:lang w:val="en-US"/>
        </w:rPr>
        <w:t>(K13)</w:t>
      </w:r>
      <w:r w:rsidRPr="00484D2B">
        <w:rPr>
          <w:rFonts w:ascii="Arial" w:hAnsi="Arial" w:cs="Arial"/>
          <w:lang w:val="en-US"/>
        </w:rPr>
        <w:t xml:space="preserve"> </w:t>
      </w:r>
      <w:r w:rsidR="00484D2B">
        <w:rPr>
          <w:rFonts w:ascii="Arial" w:hAnsi="Arial" w:cs="Arial"/>
          <w:lang w:val="en-US"/>
        </w:rPr>
        <w:t>genetic markers</w:t>
      </w:r>
      <w:r w:rsidRPr="00EE4727">
        <w:rPr>
          <w:rFonts w:ascii="Arial" w:hAnsi="Arial" w:cs="Arial"/>
          <w:lang w:val="en-US"/>
        </w:rPr>
        <w:t xml:space="preserve"> associated with</w:t>
      </w:r>
      <w:r>
        <w:rPr>
          <w:rFonts w:ascii="Arial" w:hAnsi="Arial" w:cs="Arial"/>
          <w:lang w:val="en-US"/>
        </w:rPr>
        <w:t xml:space="preserve"> </w:t>
      </w:r>
      <w:r w:rsidR="00484D2B">
        <w:rPr>
          <w:rFonts w:ascii="Arial" w:hAnsi="Arial" w:cs="Arial"/>
          <w:lang w:val="en-US"/>
        </w:rPr>
        <w:t>(</w:t>
      </w:r>
      <w:r>
        <w:rPr>
          <w:rFonts w:ascii="Arial" w:hAnsi="Arial" w:cs="Arial"/>
          <w:lang w:val="en-US"/>
        </w:rPr>
        <w:t>partial</w:t>
      </w:r>
      <w:r w:rsidR="00484D2B">
        <w:rPr>
          <w:rFonts w:ascii="Arial" w:hAnsi="Arial" w:cs="Arial"/>
          <w:lang w:val="en-US"/>
        </w:rPr>
        <w:t>)</w:t>
      </w:r>
      <w:r>
        <w:rPr>
          <w:rFonts w:ascii="Arial" w:hAnsi="Arial" w:cs="Arial"/>
          <w:lang w:val="en-US"/>
        </w:rPr>
        <w:t xml:space="preserve"> antimalarial resistance</w:t>
      </w:r>
      <w:r w:rsidRPr="00EE4727">
        <w:rPr>
          <w:rFonts w:ascii="Arial" w:hAnsi="Arial" w:cs="Arial"/>
          <w:lang w:val="en-US"/>
        </w:rPr>
        <w:t>.</w:t>
      </w:r>
      <w:r>
        <w:rPr>
          <w:rFonts w:ascii="Arial" w:hAnsi="Arial" w:cs="Arial"/>
          <w:lang w:val="en-US"/>
        </w:rPr>
        <w:t xml:space="preserve"> The prevalence of K13 </w:t>
      </w:r>
      <w:r w:rsidR="00484D2B">
        <w:rPr>
          <w:rFonts w:ascii="Arial" w:hAnsi="Arial" w:cs="Arial"/>
          <w:lang w:val="en-US"/>
        </w:rPr>
        <w:t>markers</w:t>
      </w:r>
      <w:r>
        <w:rPr>
          <w:rFonts w:ascii="Arial" w:hAnsi="Arial" w:cs="Arial"/>
          <w:lang w:val="en-US"/>
        </w:rPr>
        <w:t xml:space="preserve"> per country or region is further illustrated using a colour-coordinated tree map. Markers </w:t>
      </w:r>
      <w:r w:rsidR="00B83F25">
        <w:rPr>
          <w:rFonts w:ascii="Arial" w:hAnsi="Arial" w:cs="Arial"/>
          <w:lang w:val="en-US"/>
        </w:rPr>
        <w:t>included results from molecular surveillance published in 2014 and onwards.</w:t>
      </w:r>
      <w:r>
        <w:rPr>
          <w:rFonts w:ascii="Arial" w:hAnsi="Arial" w:cs="Arial"/>
          <w:lang w:val="en-US"/>
        </w:rPr>
        <w:t xml:space="preserve"> </w:t>
      </w:r>
      <w:r w:rsidR="00484D2B">
        <w:rPr>
          <w:rFonts w:ascii="Arial" w:hAnsi="Arial" w:cs="Arial"/>
          <w:lang w:val="en-US"/>
        </w:rPr>
        <w:t xml:space="preserve">The </w:t>
      </w:r>
      <w:r w:rsidR="00B83F25" w:rsidRPr="00B83F25">
        <w:rPr>
          <w:rFonts w:ascii="Arial" w:hAnsi="Arial" w:cs="Arial"/>
          <w:lang w:val="en-US"/>
        </w:rPr>
        <w:t xml:space="preserve">K13 prevalence </w:t>
      </w:r>
      <w:r w:rsidR="00484D2B">
        <w:rPr>
          <w:rFonts w:ascii="Arial" w:hAnsi="Arial" w:cs="Arial"/>
          <w:lang w:val="en-US"/>
        </w:rPr>
        <w:t>displayed on our dashboard include</w:t>
      </w:r>
    </w:p>
    <w:p w14:paraId="7936BE3A" w14:textId="15B9DE39" w:rsidR="00C62183" w:rsidRPr="00B83F25" w:rsidRDefault="009B10D6" w:rsidP="00D5019F">
      <w:pPr>
        <w:numPr>
          <w:ilvl w:val="0"/>
          <w:numId w:val="3"/>
        </w:numPr>
        <w:jc w:val="both"/>
        <w:rPr>
          <w:rFonts w:ascii="Arial" w:hAnsi="Arial" w:cs="Arial"/>
          <w:lang w:val="en-US"/>
        </w:rPr>
      </w:pPr>
      <w:r w:rsidRPr="009B10D6">
        <w:rPr>
          <w:rFonts w:ascii="Arial" w:hAnsi="Arial" w:cs="Arial"/>
        </w:rPr>
        <w:t>C580Y, P574L, R561H, P553L, I543T, R539T, Y493H, M476I, N458Y, F446I, C469Y, C469F, A675V, P441L, R622I, G625R</w:t>
      </w:r>
      <w:r>
        <w:rPr>
          <w:rFonts w:ascii="Arial" w:hAnsi="Arial" w:cs="Arial"/>
        </w:rPr>
        <w:t xml:space="preserve">. </w:t>
      </w:r>
      <w:r w:rsidR="00C62183">
        <w:rPr>
          <w:rFonts w:ascii="Arial" w:hAnsi="Arial" w:cs="Arial"/>
          <w:lang w:val="en-US"/>
        </w:rPr>
        <w:t xml:space="preserve">A578S and N537S (Not classified as validated or candidate but included due to </w:t>
      </w:r>
      <w:r w:rsidR="00D03270">
        <w:rPr>
          <w:rFonts w:ascii="Arial" w:hAnsi="Arial" w:cs="Arial"/>
          <w:lang w:val="en-US"/>
        </w:rPr>
        <w:t>their</w:t>
      </w:r>
      <w:r w:rsidR="00C62183">
        <w:rPr>
          <w:rFonts w:ascii="Arial" w:hAnsi="Arial" w:cs="Arial"/>
          <w:lang w:val="en-US"/>
        </w:rPr>
        <w:t xml:space="preserve"> widespread prevalence across sub-Sahara Africa)</w:t>
      </w:r>
    </w:p>
    <w:p w14:paraId="5F32FED0" w14:textId="77777777" w:rsidR="00B83F25" w:rsidRPr="00B83F25" w:rsidRDefault="00B83F25" w:rsidP="00D5019F">
      <w:pPr>
        <w:numPr>
          <w:ilvl w:val="0"/>
          <w:numId w:val="3"/>
        </w:numPr>
        <w:jc w:val="both"/>
        <w:rPr>
          <w:rFonts w:ascii="Arial" w:hAnsi="Arial" w:cs="Arial"/>
          <w:lang w:val="en-US"/>
        </w:rPr>
      </w:pPr>
      <w:r w:rsidRPr="00B83F25">
        <w:rPr>
          <w:rFonts w:ascii="Arial" w:hAnsi="Arial" w:cs="Arial"/>
          <w:lang w:val="en-US"/>
        </w:rPr>
        <w:t>Wildtype</w:t>
      </w:r>
    </w:p>
    <w:p w14:paraId="0455504F" w14:textId="14C3414E" w:rsidR="000F65AA" w:rsidRDefault="00484D2B" w:rsidP="00D5019F">
      <w:pPr>
        <w:ind w:left="720"/>
        <w:jc w:val="both"/>
        <w:rPr>
          <w:rFonts w:ascii="Arial" w:hAnsi="Arial" w:cs="Arial"/>
          <w:lang w:val="en-US"/>
        </w:rPr>
      </w:pPr>
      <w:r>
        <w:rPr>
          <w:rFonts w:ascii="Arial" w:hAnsi="Arial" w:cs="Arial"/>
          <w:lang w:val="en-US"/>
        </w:rPr>
        <w:t xml:space="preserve">Wildtype </w:t>
      </w:r>
      <w:r w:rsidR="00C62183">
        <w:rPr>
          <w:rFonts w:ascii="Arial" w:hAnsi="Arial" w:cs="Arial"/>
          <w:lang w:val="en-US"/>
        </w:rPr>
        <w:t>prevalence</w:t>
      </w:r>
      <w:r>
        <w:rPr>
          <w:rFonts w:ascii="Arial" w:hAnsi="Arial" w:cs="Arial"/>
          <w:lang w:val="en-US"/>
        </w:rPr>
        <w:t xml:space="preserve"> is </w:t>
      </w:r>
      <w:r w:rsidR="00C62183">
        <w:rPr>
          <w:rFonts w:ascii="Arial" w:hAnsi="Arial" w:cs="Arial"/>
          <w:lang w:val="en-US"/>
        </w:rPr>
        <w:t xml:space="preserve">displayed </w:t>
      </w:r>
      <w:r>
        <w:rPr>
          <w:rFonts w:ascii="Arial" w:hAnsi="Arial" w:cs="Arial"/>
          <w:lang w:val="en-US"/>
        </w:rPr>
        <w:t xml:space="preserve">as reported in published literature. Due to </w:t>
      </w:r>
      <w:r w:rsidR="00D03270">
        <w:rPr>
          <w:rFonts w:ascii="Arial" w:hAnsi="Arial" w:cs="Arial"/>
          <w:lang w:val="en-US"/>
        </w:rPr>
        <w:t>the limited alleles reported per study, care should be taken when interpreting the displayed data on K13 wildtype prevalences, as this may be an overestimation of</w:t>
      </w:r>
      <w:r>
        <w:rPr>
          <w:rFonts w:ascii="Arial" w:hAnsi="Arial" w:cs="Arial"/>
          <w:lang w:val="en-US"/>
        </w:rPr>
        <w:t xml:space="preserve"> their prevalences and may not refer to wildtype alleles across the entire </w:t>
      </w:r>
      <w:r w:rsidR="00C62183">
        <w:rPr>
          <w:rFonts w:ascii="Arial" w:hAnsi="Arial" w:cs="Arial"/>
          <w:lang w:val="en-US"/>
        </w:rPr>
        <w:t>K13 gene region.</w:t>
      </w:r>
    </w:p>
    <w:p w14:paraId="0D922C67" w14:textId="3F0659E0" w:rsidR="00221975" w:rsidRPr="00EE4727" w:rsidRDefault="00221975" w:rsidP="00D5019F">
      <w:pPr>
        <w:ind w:left="720"/>
        <w:jc w:val="both"/>
        <w:rPr>
          <w:rFonts w:ascii="Arial" w:hAnsi="Arial" w:cs="Arial"/>
          <w:lang w:val="en-US"/>
        </w:rPr>
      </w:pPr>
      <w:r>
        <w:rPr>
          <w:rFonts w:ascii="Arial" w:hAnsi="Arial" w:cs="Arial"/>
          <w:lang w:val="en-US"/>
        </w:rPr>
        <w:t>All references are listed and can be retrieved in the GitHub link below.</w:t>
      </w:r>
    </w:p>
    <w:p w14:paraId="57F687BE" w14:textId="031FD8D0" w:rsidR="000F65AA" w:rsidRDefault="000F65AA" w:rsidP="00D5019F">
      <w:pPr>
        <w:numPr>
          <w:ilvl w:val="0"/>
          <w:numId w:val="2"/>
        </w:numPr>
        <w:jc w:val="both"/>
        <w:rPr>
          <w:rFonts w:ascii="Arial" w:hAnsi="Arial" w:cs="Arial"/>
          <w:lang w:val="en-US"/>
        </w:rPr>
      </w:pPr>
      <w:r w:rsidRPr="00EE4727">
        <w:rPr>
          <w:rFonts w:ascii="Arial" w:hAnsi="Arial" w:cs="Arial"/>
          <w:lang w:val="en-US"/>
        </w:rPr>
        <w:t xml:space="preserve">Malaria treatment </w:t>
      </w:r>
      <w:r>
        <w:rPr>
          <w:rFonts w:ascii="Arial" w:hAnsi="Arial" w:cs="Arial"/>
          <w:lang w:val="en-US"/>
        </w:rPr>
        <w:t>profiles</w:t>
      </w:r>
      <w:r w:rsidRPr="00EE4727">
        <w:rPr>
          <w:rFonts w:ascii="Arial" w:hAnsi="Arial" w:cs="Arial"/>
          <w:lang w:val="en-US"/>
        </w:rPr>
        <w:t xml:space="preserve">: The dashboard includes information on the current </w:t>
      </w:r>
      <w:r w:rsidR="006B07D6">
        <w:rPr>
          <w:rFonts w:ascii="Arial" w:hAnsi="Arial" w:cs="Arial"/>
          <w:lang w:val="en-US"/>
        </w:rPr>
        <w:t xml:space="preserve">treatment policies employed in </w:t>
      </w:r>
      <w:r w:rsidRPr="00EE4727">
        <w:rPr>
          <w:rFonts w:ascii="Arial" w:hAnsi="Arial" w:cs="Arial"/>
          <w:lang w:val="en-US"/>
        </w:rPr>
        <w:t>each country.</w:t>
      </w:r>
      <w:r>
        <w:rPr>
          <w:rFonts w:ascii="Arial" w:hAnsi="Arial" w:cs="Arial"/>
          <w:lang w:val="en-US"/>
        </w:rPr>
        <w:t xml:space="preserve"> This table includes information on first- and second-line treatment of uncomplicated </w:t>
      </w:r>
      <w:r w:rsidRPr="00A363C4">
        <w:rPr>
          <w:rFonts w:ascii="Arial" w:hAnsi="Arial" w:cs="Arial"/>
          <w:i/>
          <w:iCs/>
          <w:lang w:val="en-US"/>
        </w:rPr>
        <w:t>P. falciparum</w:t>
      </w:r>
      <w:r>
        <w:rPr>
          <w:rFonts w:ascii="Arial" w:hAnsi="Arial" w:cs="Arial"/>
          <w:lang w:val="en-US"/>
        </w:rPr>
        <w:t xml:space="preserve"> malaria, first- and second-line treatment of severe malaria, prereferral treatment, the percentage </w:t>
      </w:r>
      <w:r w:rsidR="00D5019F">
        <w:rPr>
          <w:rFonts w:ascii="Arial" w:hAnsi="Arial" w:cs="Arial"/>
          <w:lang w:val="en-US"/>
        </w:rPr>
        <w:t xml:space="preserve">of </w:t>
      </w:r>
      <w:r w:rsidRPr="00091CA1">
        <w:rPr>
          <w:rFonts w:ascii="Arial" w:hAnsi="Arial" w:cs="Arial"/>
          <w:i/>
          <w:iCs/>
          <w:lang w:val="en-US"/>
        </w:rPr>
        <w:t xml:space="preserve">P. falciparum </w:t>
      </w:r>
      <w:r>
        <w:rPr>
          <w:rFonts w:ascii="Arial" w:hAnsi="Arial" w:cs="Arial"/>
          <w:lang w:val="en-US"/>
        </w:rPr>
        <w:t xml:space="preserve">amongst infected patients per country, and the treatment policy on </w:t>
      </w:r>
      <w:r w:rsidRPr="00091CA1">
        <w:rPr>
          <w:rFonts w:ascii="Arial" w:hAnsi="Arial" w:cs="Arial"/>
          <w:i/>
          <w:iCs/>
          <w:lang w:val="en-US"/>
        </w:rPr>
        <w:t>Plasmodium vivax</w:t>
      </w:r>
      <w:r>
        <w:rPr>
          <w:rFonts w:ascii="Arial" w:hAnsi="Arial" w:cs="Arial"/>
          <w:lang w:val="en-US"/>
        </w:rPr>
        <w:t xml:space="preserve"> and </w:t>
      </w:r>
      <w:r w:rsidRPr="00091CA1">
        <w:rPr>
          <w:rFonts w:ascii="Arial" w:hAnsi="Arial" w:cs="Arial"/>
          <w:i/>
          <w:iCs/>
          <w:lang w:val="en-US"/>
        </w:rPr>
        <w:t>Plasmodium ovale</w:t>
      </w:r>
      <w:r>
        <w:rPr>
          <w:rFonts w:ascii="Arial" w:hAnsi="Arial" w:cs="Arial"/>
          <w:lang w:val="en-US"/>
        </w:rPr>
        <w:t xml:space="preserve"> infections.</w:t>
      </w:r>
    </w:p>
    <w:p w14:paraId="27C261D6" w14:textId="321A7229" w:rsidR="000F65AA" w:rsidRDefault="000F65AA" w:rsidP="00D5019F">
      <w:pPr>
        <w:numPr>
          <w:ilvl w:val="0"/>
          <w:numId w:val="2"/>
        </w:numPr>
        <w:jc w:val="both"/>
        <w:rPr>
          <w:rFonts w:ascii="Arial" w:hAnsi="Arial" w:cs="Arial"/>
          <w:lang w:val="en-US"/>
        </w:rPr>
      </w:pPr>
      <w:r>
        <w:rPr>
          <w:rFonts w:ascii="Arial" w:hAnsi="Arial" w:cs="Arial"/>
          <w:lang w:val="en-US"/>
        </w:rPr>
        <w:t xml:space="preserve">Reported malaria cases and deaths: The data is displayed using a combined chart illustrating the total number of cases, presented on the y-axis as a column graph, and the total number of reported deaths, presented on the alternative y-axis and </w:t>
      </w:r>
      <w:r w:rsidR="00D5019F">
        <w:rPr>
          <w:rFonts w:ascii="Arial" w:hAnsi="Arial" w:cs="Arial"/>
          <w:lang w:val="en-US"/>
        </w:rPr>
        <w:t>visualised</w:t>
      </w:r>
      <w:r>
        <w:rPr>
          <w:rFonts w:ascii="Arial" w:hAnsi="Arial" w:cs="Arial"/>
          <w:lang w:val="en-US"/>
        </w:rPr>
        <w:t xml:space="preserve"> as a line graph, per country/region per year on the x-axis. Where inaccurately reported to the WHO Malaria Report 2023, recommendations from the country partners were included, </w:t>
      </w:r>
      <w:r w:rsidR="006B07D6">
        <w:rPr>
          <w:rFonts w:ascii="Arial" w:hAnsi="Arial" w:cs="Arial"/>
          <w:lang w:val="en-US"/>
        </w:rPr>
        <w:t xml:space="preserve">the totals were adjusted, and references </w:t>
      </w:r>
      <w:r w:rsidR="00B3478D">
        <w:rPr>
          <w:rFonts w:ascii="Arial" w:hAnsi="Arial" w:cs="Arial"/>
          <w:lang w:val="en-US"/>
        </w:rPr>
        <w:t>are included in the GitHub link</w:t>
      </w:r>
      <w:r>
        <w:rPr>
          <w:rFonts w:ascii="Arial" w:hAnsi="Arial" w:cs="Arial"/>
          <w:lang w:val="en-US"/>
        </w:rPr>
        <w:t xml:space="preserve">. </w:t>
      </w:r>
    </w:p>
    <w:p w14:paraId="5F252054" w14:textId="77777777" w:rsidR="00B3478D" w:rsidRDefault="00B3478D" w:rsidP="00B3478D">
      <w:pPr>
        <w:jc w:val="both"/>
        <w:rPr>
          <w:rFonts w:ascii="Arial" w:hAnsi="Arial" w:cs="Arial"/>
          <w:lang w:val="en-US"/>
        </w:rPr>
      </w:pPr>
    </w:p>
    <w:p w14:paraId="35B1FE47" w14:textId="77777777" w:rsidR="00B3478D" w:rsidRPr="00426B9F" w:rsidRDefault="00B3478D" w:rsidP="00B3478D">
      <w:pPr>
        <w:pStyle w:val="Heading3"/>
        <w:jc w:val="both"/>
        <w:rPr>
          <w:rFonts w:ascii="Arial" w:hAnsi="Arial" w:cs="Arial"/>
        </w:rPr>
      </w:pPr>
      <w:r w:rsidRPr="00426B9F">
        <w:rPr>
          <w:rFonts w:ascii="Arial" w:hAnsi="Arial" w:cs="Arial"/>
        </w:rPr>
        <w:t>The objectives of the development dashboard were as follows:</w:t>
      </w:r>
    </w:p>
    <w:p w14:paraId="0874B8EC" w14:textId="77777777" w:rsidR="00B3478D" w:rsidRPr="00426B9F" w:rsidRDefault="00B3478D" w:rsidP="00B3478D">
      <w:pPr>
        <w:pStyle w:val="ListParagraph"/>
        <w:numPr>
          <w:ilvl w:val="0"/>
          <w:numId w:val="4"/>
        </w:numPr>
        <w:jc w:val="both"/>
        <w:rPr>
          <w:rFonts w:ascii="Arial" w:hAnsi="Arial" w:cs="Arial"/>
        </w:rPr>
      </w:pPr>
      <w:r w:rsidRPr="00426B9F">
        <w:rPr>
          <w:rFonts w:ascii="Arial" w:hAnsi="Arial" w:cs="Arial"/>
          <w:b/>
          <w:bCs/>
        </w:rPr>
        <w:t>Inform malaria policy and practice at sub-national, national, cross-border, and regional levels:</w:t>
      </w:r>
      <w:r w:rsidRPr="00426B9F">
        <w:rPr>
          <w:rFonts w:ascii="Arial" w:hAnsi="Arial" w:cs="Arial"/>
        </w:rPr>
        <w:t xml:space="preserve"> The dashboard provides actionable insights to guide decision-making and resource allocation at various geographical scales. Cross-border information on the emergence of antimalarial resistance is particularly crucial, as the </w:t>
      </w:r>
      <w:r w:rsidRPr="00426B9F">
        <w:rPr>
          <w:rFonts w:ascii="Arial" w:hAnsi="Arial" w:cs="Arial"/>
        </w:rPr>
        <w:lastRenderedPageBreak/>
        <w:t xml:space="preserve">spread of resistant parasites can quickly undermine the effectiveness of malaria control efforts in neighbouring countries. </w:t>
      </w:r>
    </w:p>
    <w:p w14:paraId="00E6E205" w14:textId="77777777" w:rsidR="00B3478D" w:rsidRPr="00426B9F" w:rsidRDefault="00B3478D" w:rsidP="00B3478D">
      <w:pPr>
        <w:pStyle w:val="ListParagraph"/>
        <w:numPr>
          <w:ilvl w:val="0"/>
          <w:numId w:val="4"/>
        </w:numPr>
        <w:jc w:val="both"/>
        <w:rPr>
          <w:rFonts w:ascii="Arial" w:hAnsi="Arial" w:cs="Arial"/>
        </w:rPr>
      </w:pPr>
      <w:r w:rsidRPr="00426B9F">
        <w:rPr>
          <w:rFonts w:ascii="Arial" w:hAnsi="Arial" w:cs="Arial"/>
          <w:b/>
          <w:bCs/>
        </w:rPr>
        <w:t>Identify gaps in evidence and delays in evidence sharing:</w:t>
      </w:r>
      <w:r w:rsidRPr="00426B9F">
        <w:rPr>
          <w:rFonts w:ascii="Arial" w:hAnsi="Arial" w:cs="Arial"/>
        </w:rPr>
        <w:t xml:space="preserve"> The dashboard will highlight areas where data on antimalarial resistance are lacking or outdated, such as dated molecular markers. This will help prioritize research efforts and encourage timely dissemination of findings. </w:t>
      </w:r>
    </w:p>
    <w:p w14:paraId="34799AB5" w14:textId="77777777" w:rsidR="00B3478D" w:rsidRPr="00426B9F" w:rsidRDefault="00B3478D" w:rsidP="00B3478D">
      <w:pPr>
        <w:pStyle w:val="ListParagraph"/>
        <w:numPr>
          <w:ilvl w:val="0"/>
          <w:numId w:val="4"/>
        </w:numPr>
        <w:jc w:val="both"/>
        <w:rPr>
          <w:rFonts w:ascii="Arial" w:hAnsi="Arial" w:cs="Arial"/>
        </w:rPr>
      </w:pPr>
      <w:r w:rsidRPr="00426B9F">
        <w:rPr>
          <w:rFonts w:ascii="Arial" w:hAnsi="Arial" w:cs="Arial"/>
          <w:b/>
          <w:bCs/>
        </w:rPr>
        <w:t>Inform inconsistencies between malaria treatment policies and available evidence:</w:t>
      </w:r>
      <w:r w:rsidRPr="00426B9F">
        <w:rPr>
          <w:rFonts w:ascii="Arial" w:hAnsi="Arial" w:cs="Arial"/>
        </w:rPr>
        <w:t xml:space="preserve"> The dashboard will compare the latest evidence on antimalarial resistance with current treatment guidelines, identifying discrepancies and providing a basis for policy updates. </w:t>
      </w:r>
    </w:p>
    <w:p w14:paraId="3830D0C5" w14:textId="77777777" w:rsidR="00B3478D" w:rsidRPr="00426B9F" w:rsidRDefault="00B3478D" w:rsidP="00B3478D">
      <w:pPr>
        <w:pStyle w:val="ListParagraph"/>
        <w:numPr>
          <w:ilvl w:val="0"/>
          <w:numId w:val="4"/>
        </w:numPr>
        <w:jc w:val="both"/>
        <w:rPr>
          <w:rFonts w:ascii="Arial" w:hAnsi="Arial" w:cs="Arial"/>
        </w:rPr>
      </w:pPr>
      <w:r w:rsidRPr="00426B9F">
        <w:rPr>
          <w:rFonts w:ascii="Arial" w:hAnsi="Arial" w:cs="Arial"/>
          <w:b/>
          <w:bCs/>
        </w:rPr>
        <w:t xml:space="preserve">Enhance network sharing and encourage data sharing: </w:t>
      </w:r>
      <w:r w:rsidRPr="00426B9F">
        <w:rPr>
          <w:rFonts w:ascii="Arial" w:hAnsi="Arial" w:cs="Arial"/>
        </w:rPr>
        <w:t xml:space="preserve">The dashboard will serve as a platform to foster collaboration and data sharing among researchers, policymakers, and other regional stakeholders. By building regional trust and providing the necessary technology, the dashboard will facilitate the prompt exchange of information on antimalarial resistance. </w:t>
      </w:r>
    </w:p>
    <w:p w14:paraId="43C5F1B1" w14:textId="77777777" w:rsidR="00B3478D" w:rsidRDefault="00B3478D" w:rsidP="00B3478D">
      <w:pPr>
        <w:pStyle w:val="ListParagraph"/>
        <w:numPr>
          <w:ilvl w:val="0"/>
          <w:numId w:val="4"/>
        </w:numPr>
        <w:jc w:val="both"/>
        <w:rPr>
          <w:rFonts w:ascii="Arial" w:hAnsi="Arial" w:cs="Arial"/>
        </w:rPr>
      </w:pPr>
      <w:r w:rsidRPr="00426B9F">
        <w:rPr>
          <w:rFonts w:ascii="Arial" w:hAnsi="Arial" w:cs="Arial"/>
          <w:b/>
          <w:bCs/>
        </w:rPr>
        <w:t>Enable near-real-time updates and visualized outputs:</w:t>
      </w:r>
      <w:r w:rsidRPr="00426B9F">
        <w:rPr>
          <w:rFonts w:ascii="Arial" w:hAnsi="Arial" w:cs="Arial"/>
        </w:rPr>
        <w:t xml:space="preserve"> The dashboard will incorporate the latest data on the prevalence and geographic distribution of validated and candidate </w:t>
      </w:r>
      <w:r w:rsidRPr="00426B9F">
        <w:rPr>
          <w:rFonts w:ascii="Arial" w:hAnsi="Arial" w:cs="Arial"/>
          <w:i/>
          <w:iCs/>
        </w:rPr>
        <w:t>Kelch13</w:t>
      </w:r>
      <w:r w:rsidRPr="00426B9F">
        <w:rPr>
          <w:rFonts w:ascii="Arial" w:hAnsi="Arial" w:cs="Arial"/>
        </w:rPr>
        <w:t xml:space="preserve"> mutations associated with (partial) artemisinin resistance and TES outcomes. Interactive visualizations allow users to interpret and compare data across countries and over time easily.</w:t>
      </w:r>
    </w:p>
    <w:p w14:paraId="5BA045D8" w14:textId="77777777" w:rsidR="009B10D6" w:rsidRDefault="009B10D6" w:rsidP="009B10D6">
      <w:pPr>
        <w:pStyle w:val="ListParagraph"/>
        <w:jc w:val="both"/>
        <w:rPr>
          <w:rFonts w:ascii="Arial" w:hAnsi="Arial" w:cs="Arial"/>
          <w:b/>
          <w:bCs/>
        </w:rPr>
      </w:pPr>
    </w:p>
    <w:p w14:paraId="71ED52BA" w14:textId="77777777" w:rsidR="009B10D6" w:rsidRDefault="009B10D6" w:rsidP="009B10D6">
      <w:pPr>
        <w:pStyle w:val="ListParagraph"/>
        <w:jc w:val="both"/>
        <w:rPr>
          <w:rFonts w:ascii="Arial" w:hAnsi="Arial" w:cs="Arial"/>
          <w:b/>
          <w:bCs/>
        </w:rPr>
      </w:pPr>
    </w:p>
    <w:p w14:paraId="602DEBFC" w14:textId="546646B2" w:rsidR="009B10D6" w:rsidRDefault="009B10D6" w:rsidP="009B10D6">
      <w:pPr>
        <w:pStyle w:val="ListParagraph"/>
        <w:jc w:val="both"/>
        <w:rPr>
          <w:rFonts w:ascii="Arial" w:hAnsi="Arial" w:cs="Arial"/>
          <w:b/>
          <w:bCs/>
        </w:rPr>
      </w:pPr>
      <w:r>
        <w:rPr>
          <w:rFonts w:ascii="Arial" w:hAnsi="Arial" w:cs="Arial"/>
          <w:b/>
          <w:bCs/>
        </w:rPr>
        <w:t>List of abbreviations:</w:t>
      </w:r>
    </w:p>
    <w:p w14:paraId="426B2506" w14:textId="77777777" w:rsidR="009B10D6" w:rsidRPr="009B10D6" w:rsidRDefault="009B10D6" w:rsidP="009B10D6">
      <w:pPr>
        <w:pStyle w:val="ListParagraph"/>
        <w:jc w:val="both"/>
        <w:rPr>
          <w:rFonts w:ascii="Arial" w:hAnsi="Arial" w:cs="Arial"/>
        </w:rPr>
      </w:pPr>
      <w:r w:rsidRPr="009B10D6">
        <w:rPr>
          <w:rFonts w:ascii="Arial" w:hAnsi="Arial" w:cs="Arial"/>
        </w:rPr>
        <w:t>AL – Artemether-Lumefantrine</w:t>
      </w:r>
    </w:p>
    <w:p w14:paraId="237829E7" w14:textId="77777777" w:rsidR="009B10D6" w:rsidRPr="009B10D6" w:rsidRDefault="009B10D6" w:rsidP="009B10D6">
      <w:pPr>
        <w:pStyle w:val="ListParagraph"/>
        <w:jc w:val="both"/>
        <w:rPr>
          <w:rFonts w:ascii="Arial" w:hAnsi="Arial" w:cs="Arial"/>
        </w:rPr>
      </w:pPr>
      <w:r w:rsidRPr="009B10D6">
        <w:rPr>
          <w:rFonts w:ascii="Arial" w:hAnsi="Arial" w:cs="Arial"/>
        </w:rPr>
        <w:t>DP – Dihydroartemisinin-Piperaquine</w:t>
      </w:r>
    </w:p>
    <w:p w14:paraId="53EC4AC6" w14:textId="77777777" w:rsidR="009B10D6" w:rsidRPr="009B10D6" w:rsidRDefault="009B10D6" w:rsidP="009B10D6">
      <w:pPr>
        <w:pStyle w:val="ListParagraph"/>
        <w:jc w:val="both"/>
        <w:rPr>
          <w:rFonts w:ascii="Arial" w:hAnsi="Arial" w:cs="Arial"/>
        </w:rPr>
      </w:pPr>
      <w:r w:rsidRPr="009B10D6">
        <w:rPr>
          <w:rFonts w:ascii="Arial" w:hAnsi="Arial" w:cs="Arial"/>
        </w:rPr>
        <w:t>PQ – Primaquine</w:t>
      </w:r>
    </w:p>
    <w:p w14:paraId="2AFD6F30" w14:textId="77777777" w:rsidR="009B10D6" w:rsidRPr="009B10D6" w:rsidRDefault="009B10D6" w:rsidP="009B10D6">
      <w:pPr>
        <w:pStyle w:val="ListParagraph"/>
        <w:jc w:val="both"/>
        <w:rPr>
          <w:rFonts w:ascii="Arial" w:hAnsi="Arial" w:cs="Arial"/>
        </w:rPr>
      </w:pPr>
      <w:r w:rsidRPr="009B10D6">
        <w:rPr>
          <w:rFonts w:ascii="Arial" w:hAnsi="Arial" w:cs="Arial"/>
        </w:rPr>
        <w:t>AS-AQ – Artesunate-Amodiaquine</w:t>
      </w:r>
    </w:p>
    <w:p w14:paraId="579F556F" w14:textId="77777777" w:rsidR="009B10D6" w:rsidRPr="009B10D6" w:rsidRDefault="009B10D6" w:rsidP="009B10D6">
      <w:pPr>
        <w:pStyle w:val="ListParagraph"/>
        <w:jc w:val="both"/>
        <w:rPr>
          <w:rFonts w:ascii="Arial" w:hAnsi="Arial" w:cs="Arial"/>
        </w:rPr>
      </w:pPr>
      <w:r w:rsidRPr="009B10D6">
        <w:rPr>
          <w:rFonts w:ascii="Arial" w:hAnsi="Arial" w:cs="Arial"/>
        </w:rPr>
        <w:t>ASAQ – Artesunate-Amodiaquine</w:t>
      </w:r>
    </w:p>
    <w:p w14:paraId="169D6ABA" w14:textId="77777777" w:rsidR="009B10D6" w:rsidRPr="009B10D6" w:rsidRDefault="009B10D6" w:rsidP="009B10D6">
      <w:pPr>
        <w:pStyle w:val="ListParagraph"/>
        <w:jc w:val="both"/>
        <w:rPr>
          <w:rFonts w:ascii="Arial" w:hAnsi="Arial" w:cs="Arial"/>
        </w:rPr>
      </w:pPr>
      <w:r w:rsidRPr="009B10D6">
        <w:rPr>
          <w:rFonts w:ascii="Arial" w:hAnsi="Arial" w:cs="Arial"/>
        </w:rPr>
        <w:t>ASP – Artesunate-Pyronaridine</w:t>
      </w:r>
    </w:p>
    <w:p w14:paraId="30142E86" w14:textId="77777777" w:rsidR="009B10D6" w:rsidRPr="009B10D6" w:rsidRDefault="009B10D6" w:rsidP="009B10D6">
      <w:pPr>
        <w:pStyle w:val="ListParagraph"/>
        <w:jc w:val="both"/>
        <w:rPr>
          <w:rFonts w:ascii="Arial" w:hAnsi="Arial" w:cs="Arial"/>
        </w:rPr>
      </w:pPr>
      <w:r w:rsidRPr="009B10D6">
        <w:rPr>
          <w:rFonts w:ascii="Arial" w:hAnsi="Arial" w:cs="Arial"/>
        </w:rPr>
        <w:t>AS-PYR – Artesunate-Pyrimethamine</w:t>
      </w:r>
    </w:p>
    <w:p w14:paraId="11499310" w14:textId="77777777" w:rsidR="009B10D6" w:rsidRPr="009B10D6" w:rsidRDefault="009B10D6" w:rsidP="009B10D6">
      <w:pPr>
        <w:pStyle w:val="ListParagraph"/>
        <w:jc w:val="both"/>
        <w:rPr>
          <w:rFonts w:ascii="Arial" w:hAnsi="Arial" w:cs="Arial"/>
        </w:rPr>
      </w:pPr>
      <w:r w:rsidRPr="009B10D6">
        <w:rPr>
          <w:rFonts w:ascii="Arial" w:hAnsi="Arial" w:cs="Arial"/>
        </w:rPr>
        <w:t>ACT – Artemisinin-based Combination Therapy</w:t>
      </w:r>
    </w:p>
    <w:p w14:paraId="4E9B921F" w14:textId="77777777" w:rsidR="009B10D6" w:rsidRPr="009B10D6" w:rsidRDefault="009B10D6" w:rsidP="009B10D6">
      <w:pPr>
        <w:pStyle w:val="ListParagraph"/>
        <w:jc w:val="both"/>
        <w:rPr>
          <w:rFonts w:ascii="Arial" w:hAnsi="Arial" w:cs="Arial"/>
        </w:rPr>
      </w:pPr>
      <w:r w:rsidRPr="009B10D6">
        <w:rPr>
          <w:rFonts w:ascii="Arial" w:hAnsi="Arial" w:cs="Arial"/>
        </w:rPr>
        <w:t>IM – Intramuscular</w:t>
      </w:r>
    </w:p>
    <w:p w14:paraId="414189C6" w14:textId="77777777" w:rsidR="009B10D6" w:rsidRPr="009B10D6" w:rsidRDefault="009B10D6" w:rsidP="009B10D6">
      <w:pPr>
        <w:pStyle w:val="ListParagraph"/>
        <w:jc w:val="both"/>
        <w:rPr>
          <w:rFonts w:ascii="Arial" w:hAnsi="Arial" w:cs="Arial"/>
        </w:rPr>
      </w:pPr>
      <w:r w:rsidRPr="009B10D6">
        <w:rPr>
          <w:rFonts w:ascii="Arial" w:hAnsi="Arial" w:cs="Arial"/>
        </w:rPr>
        <w:t>AM – Artemether</w:t>
      </w:r>
    </w:p>
    <w:p w14:paraId="0A4F5AF5" w14:textId="77777777" w:rsidR="009B10D6" w:rsidRPr="009B10D6" w:rsidRDefault="009B10D6" w:rsidP="009B10D6">
      <w:pPr>
        <w:pStyle w:val="ListParagraph"/>
        <w:jc w:val="both"/>
        <w:rPr>
          <w:rFonts w:ascii="Arial" w:hAnsi="Arial" w:cs="Arial"/>
        </w:rPr>
      </w:pPr>
      <w:r w:rsidRPr="009B10D6">
        <w:rPr>
          <w:rFonts w:ascii="Arial" w:hAnsi="Arial" w:cs="Arial"/>
        </w:rPr>
        <w:t>QN – Quinine</w:t>
      </w:r>
    </w:p>
    <w:p w14:paraId="21611D4E" w14:textId="77777777" w:rsidR="009B10D6" w:rsidRPr="009B10D6" w:rsidRDefault="009B10D6" w:rsidP="009B10D6">
      <w:pPr>
        <w:pStyle w:val="ListParagraph"/>
        <w:jc w:val="both"/>
        <w:rPr>
          <w:rFonts w:ascii="Arial" w:hAnsi="Arial" w:cs="Arial"/>
        </w:rPr>
      </w:pPr>
      <w:r w:rsidRPr="009B10D6">
        <w:rPr>
          <w:rFonts w:ascii="Arial" w:hAnsi="Arial" w:cs="Arial"/>
        </w:rPr>
        <w:t>AS – Artesunate</w:t>
      </w:r>
    </w:p>
    <w:p w14:paraId="25AE0AEF" w14:textId="69484C64" w:rsidR="009B10D6" w:rsidRPr="009B10D6" w:rsidRDefault="009B10D6" w:rsidP="009B10D6">
      <w:pPr>
        <w:pStyle w:val="ListParagraph"/>
        <w:jc w:val="both"/>
        <w:rPr>
          <w:rFonts w:ascii="Arial" w:hAnsi="Arial" w:cs="Arial"/>
        </w:rPr>
      </w:pPr>
      <w:r w:rsidRPr="009B10D6">
        <w:rPr>
          <w:rFonts w:ascii="Arial" w:hAnsi="Arial" w:cs="Arial"/>
        </w:rPr>
        <w:t>NA – Not Available</w:t>
      </w:r>
    </w:p>
    <w:p w14:paraId="63B32367" w14:textId="20E6453F" w:rsidR="009B10D6" w:rsidRPr="00426B9F" w:rsidRDefault="009B10D6" w:rsidP="009B10D6">
      <w:pPr>
        <w:pStyle w:val="ListParagraph"/>
        <w:jc w:val="both"/>
        <w:rPr>
          <w:rFonts w:ascii="Arial" w:hAnsi="Arial" w:cs="Arial"/>
        </w:rPr>
      </w:pPr>
      <w:r w:rsidRPr="009B10D6">
        <w:rPr>
          <w:rFonts w:ascii="Arial" w:hAnsi="Arial" w:cs="Arial"/>
        </w:rPr>
        <w:t>Rectal AS – Rectal Artesunate</w:t>
      </w:r>
    </w:p>
    <w:p w14:paraId="3B5E8F73" w14:textId="77777777" w:rsidR="00B3478D" w:rsidRDefault="00B3478D" w:rsidP="00B3478D">
      <w:pPr>
        <w:jc w:val="both"/>
        <w:rPr>
          <w:rFonts w:ascii="Arial" w:hAnsi="Arial" w:cs="Arial"/>
          <w:lang w:val="en-US"/>
        </w:rPr>
      </w:pPr>
    </w:p>
    <w:p w14:paraId="254C0457" w14:textId="1DBA0AFE" w:rsidR="000F65AA" w:rsidRDefault="000F65AA" w:rsidP="00D5019F">
      <w:pPr>
        <w:jc w:val="both"/>
        <w:rPr>
          <w:rFonts w:ascii="Arial" w:hAnsi="Arial" w:cs="Arial"/>
          <w:lang w:val="en-US"/>
        </w:rPr>
      </w:pPr>
      <w:r>
        <w:rPr>
          <w:rFonts w:ascii="Arial" w:hAnsi="Arial" w:cs="Arial"/>
          <w:lang w:val="en-US"/>
        </w:rPr>
        <w:t>For more information</w:t>
      </w:r>
      <w:r w:rsidR="006B07D6">
        <w:rPr>
          <w:rFonts w:ascii="Arial" w:hAnsi="Arial" w:cs="Arial"/>
          <w:lang w:val="en-US"/>
        </w:rPr>
        <w:t xml:space="preserve"> on the MARC SE Africa project, visit our website at </w:t>
      </w:r>
      <w:r w:rsidR="006B07D6" w:rsidRPr="006B07D6">
        <w:rPr>
          <w:rFonts w:ascii="Arial" w:hAnsi="Arial" w:cs="Arial"/>
          <w:lang w:val="en-US"/>
        </w:rPr>
        <w:t>https://www.marcse-africa.org/</w:t>
      </w:r>
      <w:r>
        <w:rPr>
          <w:rFonts w:ascii="Arial" w:hAnsi="Arial" w:cs="Arial"/>
          <w:lang w:val="en-US"/>
        </w:rPr>
        <w:t xml:space="preserve"> </w:t>
      </w:r>
      <w:r w:rsidR="006B07D6">
        <w:rPr>
          <w:rFonts w:ascii="Arial" w:hAnsi="Arial" w:cs="Arial"/>
          <w:lang w:val="en-US"/>
        </w:rPr>
        <w:t>or</w:t>
      </w:r>
      <w:r>
        <w:rPr>
          <w:rFonts w:ascii="Arial" w:hAnsi="Arial" w:cs="Arial"/>
          <w:lang w:val="en-US"/>
        </w:rPr>
        <w:t xml:space="preserve"> contact us at </w:t>
      </w:r>
      <w:r w:rsidRPr="000F65AA">
        <w:rPr>
          <w:rFonts w:ascii="Arial" w:hAnsi="Arial" w:cs="Arial"/>
          <w:lang w:val="en-US"/>
        </w:rPr>
        <w:t>marcseafrica@uct.ac.za</w:t>
      </w:r>
      <w:r w:rsidR="00D44E23">
        <w:rPr>
          <w:rFonts w:ascii="Arial" w:hAnsi="Arial" w:cs="Arial"/>
          <w:lang w:val="en-US"/>
        </w:rPr>
        <w:t xml:space="preserve">. The data and full reference list </w:t>
      </w:r>
      <w:r w:rsidR="00D03270">
        <w:rPr>
          <w:rFonts w:ascii="Arial" w:hAnsi="Arial" w:cs="Arial"/>
          <w:lang w:val="en-US"/>
        </w:rPr>
        <w:t>are</w:t>
      </w:r>
      <w:r w:rsidR="00D44E23">
        <w:rPr>
          <w:rFonts w:ascii="Arial" w:hAnsi="Arial" w:cs="Arial"/>
          <w:lang w:val="en-US"/>
        </w:rPr>
        <w:t xml:space="preserve"> available via </w:t>
      </w:r>
      <w:bookmarkStart w:id="0" w:name="_Hlk176517916"/>
      <w:r w:rsidR="00D44E23" w:rsidRPr="00D44E23">
        <w:rPr>
          <w:rFonts w:ascii="Arial" w:hAnsi="Arial" w:cs="Arial"/>
          <w:lang w:val="en-US"/>
        </w:rPr>
        <w:t>https://github.com/Stephanie-van-Wyk/MARC_SEA_dashboard.git</w:t>
      </w:r>
      <w:r w:rsidR="00D44E23">
        <w:rPr>
          <w:rFonts w:ascii="Arial" w:hAnsi="Arial" w:cs="Arial"/>
          <w:lang w:val="en-US"/>
        </w:rPr>
        <w:t xml:space="preserve">. </w:t>
      </w:r>
      <w:bookmarkEnd w:id="0"/>
    </w:p>
    <w:p w14:paraId="6EDA640C" w14:textId="77777777" w:rsidR="00D44E23" w:rsidRPr="00EE4727" w:rsidRDefault="00D44E23" w:rsidP="00D5019F">
      <w:pPr>
        <w:jc w:val="both"/>
        <w:rPr>
          <w:rFonts w:ascii="Arial" w:hAnsi="Arial" w:cs="Arial"/>
          <w:lang w:val="en-US"/>
        </w:rPr>
      </w:pPr>
    </w:p>
    <w:p w14:paraId="12FB7233" w14:textId="77777777" w:rsidR="000F65AA" w:rsidRDefault="000F65AA" w:rsidP="00D5019F">
      <w:pPr>
        <w:pStyle w:val="ListParagraph"/>
        <w:jc w:val="both"/>
      </w:pPr>
    </w:p>
    <w:sectPr w:rsidR="000F6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5F7263"/>
    <w:multiLevelType w:val="multilevel"/>
    <w:tmpl w:val="3856A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642F9D"/>
    <w:multiLevelType w:val="multilevel"/>
    <w:tmpl w:val="EC16BC0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734F6306"/>
    <w:multiLevelType w:val="hybridMultilevel"/>
    <w:tmpl w:val="7CA68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983964"/>
    <w:multiLevelType w:val="hybridMultilevel"/>
    <w:tmpl w:val="B84CD6B8"/>
    <w:lvl w:ilvl="0" w:tplc="2DB040D6">
      <w:start w:val="1"/>
      <w:numFmt w:val="decimal"/>
      <w:lvlText w:val="%1."/>
      <w:lvlJc w:val="left"/>
      <w:pPr>
        <w:ind w:left="720" w:hanging="360"/>
      </w:pPr>
      <w:rPr>
        <w:rFonts w:ascii="Arial" w:hAnsi="Arial" w:cs="Arial"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1712207">
    <w:abstractNumId w:val="3"/>
  </w:num>
  <w:num w:numId="2" w16cid:durableId="684940326">
    <w:abstractNumId w:val="0"/>
  </w:num>
  <w:num w:numId="3" w16cid:durableId="1233464245">
    <w:abstractNumId w:val="1"/>
  </w:num>
  <w:num w:numId="4" w16cid:durableId="1889801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34BF"/>
    <w:rsid w:val="00000D18"/>
    <w:rsid w:val="00042B5A"/>
    <w:rsid w:val="000771F7"/>
    <w:rsid w:val="00092422"/>
    <w:rsid w:val="000D16C4"/>
    <w:rsid w:val="000F65AA"/>
    <w:rsid w:val="001061F1"/>
    <w:rsid w:val="0017031B"/>
    <w:rsid w:val="00181749"/>
    <w:rsid w:val="00181AA3"/>
    <w:rsid w:val="001868D5"/>
    <w:rsid w:val="001B12FD"/>
    <w:rsid w:val="001F2D7E"/>
    <w:rsid w:val="00207498"/>
    <w:rsid w:val="00221975"/>
    <w:rsid w:val="0023732A"/>
    <w:rsid w:val="00251FB9"/>
    <w:rsid w:val="00253E7F"/>
    <w:rsid w:val="00254290"/>
    <w:rsid w:val="002B2696"/>
    <w:rsid w:val="002C7CF0"/>
    <w:rsid w:val="002D6A55"/>
    <w:rsid w:val="002F219F"/>
    <w:rsid w:val="002F6A95"/>
    <w:rsid w:val="00306917"/>
    <w:rsid w:val="00340E45"/>
    <w:rsid w:val="003A675E"/>
    <w:rsid w:val="003D03B2"/>
    <w:rsid w:val="003E1E12"/>
    <w:rsid w:val="003F5186"/>
    <w:rsid w:val="0044045F"/>
    <w:rsid w:val="00445556"/>
    <w:rsid w:val="004612B2"/>
    <w:rsid w:val="0046522C"/>
    <w:rsid w:val="0046621A"/>
    <w:rsid w:val="00484D2B"/>
    <w:rsid w:val="004A4FD0"/>
    <w:rsid w:val="004E70A4"/>
    <w:rsid w:val="00506E05"/>
    <w:rsid w:val="005176FA"/>
    <w:rsid w:val="00524C39"/>
    <w:rsid w:val="00547015"/>
    <w:rsid w:val="00562298"/>
    <w:rsid w:val="005835BA"/>
    <w:rsid w:val="005B34BF"/>
    <w:rsid w:val="00615FDB"/>
    <w:rsid w:val="00664E0A"/>
    <w:rsid w:val="006B07D6"/>
    <w:rsid w:val="006E6DD9"/>
    <w:rsid w:val="006F05DC"/>
    <w:rsid w:val="00710D46"/>
    <w:rsid w:val="00724BE2"/>
    <w:rsid w:val="00736D34"/>
    <w:rsid w:val="00744A6B"/>
    <w:rsid w:val="0074553C"/>
    <w:rsid w:val="00765B72"/>
    <w:rsid w:val="0079748B"/>
    <w:rsid w:val="007D6C29"/>
    <w:rsid w:val="007E0C7F"/>
    <w:rsid w:val="007F5D68"/>
    <w:rsid w:val="00816A8B"/>
    <w:rsid w:val="00846133"/>
    <w:rsid w:val="00882524"/>
    <w:rsid w:val="00895927"/>
    <w:rsid w:val="008D1ED5"/>
    <w:rsid w:val="008F63CA"/>
    <w:rsid w:val="00904994"/>
    <w:rsid w:val="0091510A"/>
    <w:rsid w:val="0093696E"/>
    <w:rsid w:val="00946C9B"/>
    <w:rsid w:val="009509C6"/>
    <w:rsid w:val="009A4DE2"/>
    <w:rsid w:val="009A7F55"/>
    <w:rsid w:val="009B10D6"/>
    <w:rsid w:val="009E591B"/>
    <w:rsid w:val="00AA185B"/>
    <w:rsid w:val="00AB0FFE"/>
    <w:rsid w:val="00B132BF"/>
    <w:rsid w:val="00B3478D"/>
    <w:rsid w:val="00B71BBB"/>
    <w:rsid w:val="00B83F25"/>
    <w:rsid w:val="00C179E6"/>
    <w:rsid w:val="00C31708"/>
    <w:rsid w:val="00C5256B"/>
    <w:rsid w:val="00C62183"/>
    <w:rsid w:val="00C746B1"/>
    <w:rsid w:val="00C84C9A"/>
    <w:rsid w:val="00CF16D7"/>
    <w:rsid w:val="00CF52F7"/>
    <w:rsid w:val="00D03270"/>
    <w:rsid w:val="00D33419"/>
    <w:rsid w:val="00D34689"/>
    <w:rsid w:val="00D44E23"/>
    <w:rsid w:val="00D5019F"/>
    <w:rsid w:val="00D6609A"/>
    <w:rsid w:val="00D760C5"/>
    <w:rsid w:val="00DC1D95"/>
    <w:rsid w:val="00DD386D"/>
    <w:rsid w:val="00E40993"/>
    <w:rsid w:val="00E44459"/>
    <w:rsid w:val="00E86B80"/>
    <w:rsid w:val="00E91706"/>
    <w:rsid w:val="00E97FA8"/>
    <w:rsid w:val="00EA6A00"/>
    <w:rsid w:val="00EB1D7C"/>
    <w:rsid w:val="00F117FD"/>
    <w:rsid w:val="00F330A7"/>
    <w:rsid w:val="00F96D15"/>
    <w:rsid w:val="00FD1A1E"/>
    <w:rsid w:val="00FD2943"/>
    <w:rsid w:val="00FF3B5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C6804C"/>
  <w15:chartTrackingRefBased/>
  <w15:docId w15:val="{B6B3FC11-9284-4503-AE46-5F887C1A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4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4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34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B34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4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4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4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4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4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4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4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34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B34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4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4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4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4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4BF"/>
    <w:rPr>
      <w:rFonts w:eastAsiaTheme="majorEastAsia" w:cstheme="majorBidi"/>
      <w:color w:val="272727" w:themeColor="text1" w:themeTint="D8"/>
    </w:rPr>
  </w:style>
  <w:style w:type="paragraph" w:styleId="Title">
    <w:name w:val="Title"/>
    <w:basedOn w:val="Normal"/>
    <w:next w:val="Normal"/>
    <w:link w:val="TitleChar"/>
    <w:uiPriority w:val="10"/>
    <w:qFormat/>
    <w:rsid w:val="005B34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4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4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4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4BF"/>
    <w:pPr>
      <w:spacing w:before="160"/>
      <w:jc w:val="center"/>
    </w:pPr>
    <w:rPr>
      <w:i/>
      <w:iCs/>
      <w:color w:val="404040" w:themeColor="text1" w:themeTint="BF"/>
    </w:rPr>
  </w:style>
  <w:style w:type="character" w:customStyle="1" w:styleId="QuoteChar">
    <w:name w:val="Quote Char"/>
    <w:basedOn w:val="DefaultParagraphFont"/>
    <w:link w:val="Quote"/>
    <w:uiPriority w:val="29"/>
    <w:rsid w:val="005B34BF"/>
    <w:rPr>
      <w:i/>
      <w:iCs/>
      <w:color w:val="404040" w:themeColor="text1" w:themeTint="BF"/>
    </w:rPr>
  </w:style>
  <w:style w:type="paragraph" w:styleId="ListParagraph">
    <w:name w:val="List Paragraph"/>
    <w:basedOn w:val="Normal"/>
    <w:uiPriority w:val="34"/>
    <w:qFormat/>
    <w:rsid w:val="005B34BF"/>
    <w:pPr>
      <w:ind w:left="720"/>
      <w:contextualSpacing/>
    </w:pPr>
  </w:style>
  <w:style w:type="character" w:styleId="IntenseEmphasis">
    <w:name w:val="Intense Emphasis"/>
    <w:basedOn w:val="DefaultParagraphFont"/>
    <w:uiPriority w:val="21"/>
    <w:qFormat/>
    <w:rsid w:val="005B34BF"/>
    <w:rPr>
      <w:i/>
      <w:iCs/>
      <w:color w:val="0F4761" w:themeColor="accent1" w:themeShade="BF"/>
    </w:rPr>
  </w:style>
  <w:style w:type="paragraph" w:styleId="IntenseQuote">
    <w:name w:val="Intense Quote"/>
    <w:basedOn w:val="Normal"/>
    <w:next w:val="Normal"/>
    <w:link w:val="IntenseQuoteChar"/>
    <w:uiPriority w:val="30"/>
    <w:qFormat/>
    <w:rsid w:val="005B34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4BF"/>
    <w:rPr>
      <w:i/>
      <w:iCs/>
      <w:color w:val="0F4761" w:themeColor="accent1" w:themeShade="BF"/>
    </w:rPr>
  </w:style>
  <w:style w:type="character" w:styleId="IntenseReference">
    <w:name w:val="Intense Reference"/>
    <w:basedOn w:val="DefaultParagraphFont"/>
    <w:uiPriority w:val="32"/>
    <w:qFormat/>
    <w:rsid w:val="005B34BF"/>
    <w:rPr>
      <w:b/>
      <w:bCs/>
      <w:smallCaps/>
      <w:color w:val="0F4761" w:themeColor="accent1" w:themeShade="BF"/>
      <w:spacing w:val="5"/>
    </w:rPr>
  </w:style>
  <w:style w:type="character" w:styleId="Hyperlink">
    <w:name w:val="Hyperlink"/>
    <w:basedOn w:val="DefaultParagraphFont"/>
    <w:uiPriority w:val="99"/>
    <w:unhideWhenUsed/>
    <w:rsid w:val="000F65AA"/>
    <w:rPr>
      <w:color w:val="467886" w:themeColor="hyperlink"/>
      <w:u w:val="single"/>
    </w:rPr>
  </w:style>
  <w:style w:type="character" w:styleId="UnresolvedMention">
    <w:name w:val="Unresolved Mention"/>
    <w:basedOn w:val="DefaultParagraphFont"/>
    <w:uiPriority w:val="99"/>
    <w:semiHidden/>
    <w:unhideWhenUsed/>
    <w:rsid w:val="000F65AA"/>
    <w:rPr>
      <w:color w:val="605E5C"/>
      <w:shd w:val="clear" w:color="auto" w:fill="E1DFDD"/>
    </w:rPr>
  </w:style>
  <w:style w:type="character" w:styleId="CommentReference">
    <w:name w:val="annotation reference"/>
    <w:basedOn w:val="DefaultParagraphFont"/>
    <w:uiPriority w:val="99"/>
    <w:semiHidden/>
    <w:unhideWhenUsed/>
    <w:rsid w:val="000F65AA"/>
    <w:rPr>
      <w:sz w:val="16"/>
      <w:szCs w:val="16"/>
    </w:rPr>
  </w:style>
  <w:style w:type="paragraph" w:styleId="CommentText">
    <w:name w:val="annotation text"/>
    <w:basedOn w:val="Normal"/>
    <w:link w:val="CommentTextChar"/>
    <w:uiPriority w:val="99"/>
    <w:unhideWhenUsed/>
    <w:rsid w:val="000F65AA"/>
    <w:pPr>
      <w:spacing w:line="240" w:lineRule="auto"/>
    </w:pPr>
    <w:rPr>
      <w:sz w:val="20"/>
      <w:szCs w:val="20"/>
    </w:rPr>
  </w:style>
  <w:style w:type="character" w:customStyle="1" w:styleId="CommentTextChar">
    <w:name w:val="Comment Text Char"/>
    <w:basedOn w:val="DefaultParagraphFont"/>
    <w:link w:val="CommentText"/>
    <w:uiPriority w:val="99"/>
    <w:rsid w:val="000F65A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581152">
      <w:bodyDiv w:val="1"/>
      <w:marLeft w:val="0"/>
      <w:marRight w:val="0"/>
      <w:marTop w:val="0"/>
      <w:marBottom w:val="0"/>
      <w:divBdr>
        <w:top w:val="none" w:sz="0" w:space="0" w:color="auto"/>
        <w:left w:val="none" w:sz="0" w:space="0" w:color="auto"/>
        <w:bottom w:val="none" w:sz="0" w:space="0" w:color="auto"/>
        <w:right w:val="none" w:sz="0" w:space="0" w:color="auto"/>
      </w:divBdr>
    </w:div>
    <w:div w:id="1142229293">
      <w:bodyDiv w:val="1"/>
      <w:marLeft w:val="0"/>
      <w:marRight w:val="0"/>
      <w:marTop w:val="0"/>
      <w:marBottom w:val="0"/>
      <w:divBdr>
        <w:top w:val="none" w:sz="0" w:space="0" w:color="auto"/>
        <w:left w:val="none" w:sz="0" w:space="0" w:color="auto"/>
        <w:bottom w:val="none" w:sz="0" w:space="0" w:color="auto"/>
        <w:right w:val="none" w:sz="0" w:space="0" w:color="auto"/>
      </w:divBdr>
    </w:div>
    <w:div w:id="2007006508">
      <w:bodyDiv w:val="1"/>
      <w:marLeft w:val="0"/>
      <w:marRight w:val="0"/>
      <w:marTop w:val="0"/>
      <w:marBottom w:val="0"/>
      <w:divBdr>
        <w:top w:val="none" w:sz="0" w:space="0" w:color="auto"/>
        <w:left w:val="none" w:sz="0" w:space="0" w:color="auto"/>
        <w:bottom w:val="none" w:sz="0" w:space="0" w:color="auto"/>
        <w:right w:val="none" w:sz="0" w:space="0" w:color="auto"/>
      </w:divBdr>
      <w:divsChild>
        <w:div w:id="2131972302">
          <w:marLeft w:val="0"/>
          <w:marRight w:val="0"/>
          <w:marTop w:val="0"/>
          <w:marBottom w:val="0"/>
          <w:divBdr>
            <w:top w:val="none" w:sz="0" w:space="0" w:color="auto"/>
            <w:left w:val="none" w:sz="0" w:space="0" w:color="auto"/>
            <w:bottom w:val="none" w:sz="0" w:space="0" w:color="auto"/>
            <w:right w:val="none" w:sz="0" w:space="0" w:color="auto"/>
          </w:divBdr>
          <w:divsChild>
            <w:div w:id="51006356">
              <w:marLeft w:val="0"/>
              <w:marRight w:val="0"/>
              <w:marTop w:val="0"/>
              <w:marBottom w:val="0"/>
              <w:divBdr>
                <w:top w:val="none" w:sz="0" w:space="0" w:color="auto"/>
                <w:left w:val="none" w:sz="0" w:space="0" w:color="auto"/>
                <w:bottom w:val="none" w:sz="0" w:space="0" w:color="auto"/>
                <w:right w:val="none" w:sz="0" w:space="0" w:color="auto"/>
              </w:divBdr>
            </w:div>
          </w:divsChild>
        </w:div>
        <w:div w:id="1913003293">
          <w:marLeft w:val="0"/>
          <w:marRight w:val="0"/>
          <w:marTop w:val="0"/>
          <w:marBottom w:val="0"/>
          <w:divBdr>
            <w:top w:val="none" w:sz="0" w:space="0" w:color="auto"/>
            <w:left w:val="none" w:sz="0" w:space="0" w:color="auto"/>
            <w:bottom w:val="none" w:sz="0" w:space="0" w:color="auto"/>
            <w:right w:val="none" w:sz="0" w:space="0" w:color="auto"/>
          </w:divBdr>
          <w:divsChild>
            <w:div w:id="247889818">
              <w:marLeft w:val="0"/>
              <w:marRight w:val="0"/>
              <w:marTop w:val="0"/>
              <w:marBottom w:val="0"/>
              <w:divBdr>
                <w:top w:val="none" w:sz="0" w:space="0" w:color="auto"/>
                <w:left w:val="none" w:sz="0" w:space="0" w:color="auto"/>
                <w:bottom w:val="none" w:sz="0" w:space="0" w:color="auto"/>
                <w:right w:val="none" w:sz="0" w:space="0" w:color="auto"/>
              </w:divBdr>
            </w:div>
          </w:divsChild>
        </w:div>
        <w:div w:id="1557282940">
          <w:marLeft w:val="0"/>
          <w:marRight w:val="0"/>
          <w:marTop w:val="0"/>
          <w:marBottom w:val="0"/>
          <w:divBdr>
            <w:top w:val="none" w:sz="0" w:space="0" w:color="auto"/>
            <w:left w:val="none" w:sz="0" w:space="0" w:color="auto"/>
            <w:bottom w:val="none" w:sz="0" w:space="0" w:color="auto"/>
            <w:right w:val="none" w:sz="0" w:space="0" w:color="auto"/>
          </w:divBdr>
          <w:divsChild>
            <w:div w:id="1886332156">
              <w:marLeft w:val="0"/>
              <w:marRight w:val="0"/>
              <w:marTop w:val="0"/>
              <w:marBottom w:val="0"/>
              <w:divBdr>
                <w:top w:val="none" w:sz="0" w:space="0" w:color="auto"/>
                <w:left w:val="none" w:sz="0" w:space="0" w:color="auto"/>
                <w:bottom w:val="none" w:sz="0" w:space="0" w:color="auto"/>
                <w:right w:val="none" w:sz="0" w:space="0" w:color="auto"/>
              </w:divBdr>
            </w:div>
          </w:divsChild>
        </w:div>
        <w:div w:id="838735384">
          <w:marLeft w:val="0"/>
          <w:marRight w:val="0"/>
          <w:marTop w:val="0"/>
          <w:marBottom w:val="0"/>
          <w:divBdr>
            <w:top w:val="none" w:sz="0" w:space="0" w:color="auto"/>
            <w:left w:val="none" w:sz="0" w:space="0" w:color="auto"/>
            <w:bottom w:val="none" w:sz="0" w:space="0" w:color="auto"/>
            <w:right w:val="none" w:sz="0" w:space="0" w:color="auto"/>
          </w:divBdr>
          <w:divsChild>
            <w:div w:id="1627002883">
              <w:marLeft w:val="0"/>
              <w:marRight w:val="0"/>
              <w:marTop w:val="0"/>
              <w:marBottom w:val="0"/>
              <w:divBdr>
                <w:top w:val="none" w:sz="0" w:space="0" w:color="auto"/>
                <w:left w:val="none" w:sz="0" w:space="0" w:color="auto"/>
                <w:bottom w:val="none" w:sz="0" w:space="0" w:color="auto"/>
                <w:right w:val="none" w:sz="0" w:space="0" w:color="auto"/>
              </w:divBdr>
            </w:div>
          </w:divsChild>
        </w:div>
        <w:div w:id="1302615211">
          <w:marLeft w:val="0"/>
          <w:marRight w:val="0"/>
          <w:marTop w:val="0"/>
          <w:marBottom w:val="0"/>
          <w:divBdr>
            <w:top w:val="none" w:sz="0" w:space="0" w:color="auto"/>
            <w:left w:val="none" w:sz="0" w:space="0" w:color="auto"/>
            <w:bottom w:val="none" w:sz="0" w:space="0" w:color="auto"/>
            <w:right w:val="none" w:sz="0" w:space="0" w:color="auto"/>
          </w:divBdr>
          <w:divsChild>
            <w:div w:id="807548577">
              <w:marLeft w:val="0"/>
              <w:marRight w:val="0"/>
              <w:marTop w:val="0"/>
              <w:marBottom w:val="0"/>
              <w:divBdr>
                <w:top w:val="none" w:sz="0" w:space="0" w:color="auto"/>
                <w:left w:val="none" w:sz="0" w:space="0" w:color="auto"/>
                <w:bottom w:val="none" w:sz="0" w:space="0" w:color="auto"/>
                <w:right w:val="none" w:sz="0" w:space="0" w:color="auto"/>
              </w:divBdr>
            </w:div>
          </w:divsChild>
        </w:div>
        <w:div w:id="371619157">
          <w:marLeft w:val="0"/>
          <w:marRight w:val="0"/>
          <w:marTop w:val="0"/>
          <w:marBottom w:val="0"/>
          <w:divBdr>
            <w:top w:val="none" w:sz="0" w:space="0" w:color="auto"/>
            <w:left w:val="none" w:sz="0" w:space="0" w:color="auto"/>
            <w:bottom w:val="none" w:sz="0" w:space="0" w:color="auto"/>
            <w:right w:val="none" w:sz="0" w:space="0" w:color="auto"/>
          </w:divBdr>
          <w:divsChild>
            <w:div w:id="1361127481">
              <w:marLeft w:val="0"/>
              <w:marRight w:val="0"/>
              <w:marTop w:val="0"/>
              <w:marBottom w:val="0"/>
              <w:divBdr>
                <w:top w:val="none" w:sz="0" w:space="0" w:color="auto"/>
                <w:left w:val="none" w:sz="0" w:space="0" w:color="auto"/>
                <w:bottom w:val="none" w:sz="0" w:space="0" w:color="auto"/>
                <w:right w:val="none" w:sz="0" w:space="0" w:color="auto"/>
              </w:divBdr>
            </w:div>
          </w:divsChild>
        </w:div>
        <w:div w:id="746145962">
          <w:marLeft w:val="0"/>
          <w:marRight w:val="0"/>
          <w:marTop w:val="0"/>
          <w:marBottom w:val="0"/>
          <w:divBdr>
            <w:top w:val="none" w:sz="0" w:space="0" w:color="auto"/>
            <w:left w:val="none" w:sz="0" w:space="0" w:color="auto"/>
            <w:bottom w:val="none" w:sz="0" w:space="0" w:color="auto"/>
            <w:right w:val="none" w:sz="0" w:space="0" w:color="auto"/>
          </w:divBdr>
          <w:divsChild>
            <w:div w:id="1889299688">
              <w:marLeft w:val="0"/>
              <w:marRight w:val="0"/>
              <w:marTop w:val="0"/>
              <w:marBottom w:val="0"/>
              <w:divBdr>
                <w:top w:val="none" w:sz="0" w:space="0" w:color="auto"/>
                <w:left w:val="none" w:sz="0" w:space="0" w:color="auto"/>
                <w:bottom w:val="none" w:sz="0" w:space="0" w:color="auto"/>
                <w:right w:val="none" w:sz="0" w:space="0" w:color="auto"/>
              </w:divBdr>
            </w:div>
          </w:divsChild>
        </w:div>
        <w:div w:id="1280526975">
          <w:marLeft w:val="0"/>
          <w:marRight w:val="0"/>
          <w:marTop w:val="0"/>
          <w:marBottom w:val="0"/>
          <w:divBdr>
            <w:top w:val="none" w:sz="0" w:space="0" w:color="auto"/>
            <w:left w:val="none" w:sz="0" w:space="0" w:color="auto"/>
            <w:bottom w:val="none" w:sz="0" w:space="0" w:color="auto"/>
            <w:right w:val="none" w:sz="0" w:space="0" w:color="auto"/>
          </w:divBdr>
          <w:divsChild>
            <w:div w:id="10145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mrc.ac.za/research/centre-and-platforms-office/malaria-research-group" TargetMode="External"/><Relationship Id="rId5" Type="http://schemas.openxmlformats.org/officeDocument/2006/relationships/hyperlink" Target="mailto:marcseafrica@uct.ac.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3</Pages>
  <Words>1107</Words>
  <Characters>6942</Characters>
  <Application>Microsoft Office Word</Application>
  <DocSecurity>0</DocSecurity>
  <Lines>106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Van Wyk</dc:creator>
  <cp:keywords/>
  <dc:description/>
  <cp:lastModifiedBy>Stephanie Van Wyk</cp:lastModifiedBy>
  <cp:revision>12</cp:revision>
  <dcterms:created xsi:type="dcterms:W3CDTF">2024-05-16T01:52:00Z</dcterms:created>
  <dcterms:modified xsi:type="dcterms:W3CDTF">2024-10-24T08:56:00Z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6b21e863-2313-4b0b-b426-5a8363ab8f12</vt:lpwstr>
  </property>
</Properties>
</file>