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4"/>
          <w:szCs w:val="44"/>
        </w:rPr>
        <w:t xml:space="preserve">Crew Deployment Gantt</w:t>
      </w:r>
    </w:p>
    <w:p>
      <w:pPr>
        <w:spacing w:after="200" w:before="0"/>
      </w:pPr>
      <w:r>
        <w:rPr>
          <w:rFonts w:ascii="Arial" w:cs="Arial" w:eastAsia="Arial" w:hAnsi="Arial"/>
          <w:color w:val="5A6A8A"/>
          <w:sz w:val="22"/>
          <w:szCs w:val="22"/>
        </w:rPr>
        <w:t xml:space="preserve">Manager Quick Reference  ·  Tyler Rogers / Dale Forrest</w:t>
      </w:r>
    </w:p>
    <w:p>
      <w:pPr>
        <w:pStyle w:val="Heading1"/>
        <w:pBdr>
          <w:bottom w:val="single" w:color="2F5496" w:sz="8" w:space="4"/>
        </w:pBdr>
        <w:spacing w:after="120" w:before="280"/>
      </w:pPr>
      <w:r>
        <w:rPr>
          <w:rFonts w:ascii="Arial" w:cs="Arial" w:eastAsia="Arial" w:hAnsi="Arial"/>
          <w:b/>
          <w:bCs/>
          <w:color w:val="1F3864"/>
          <w:sz w:val="28"/>
          <w:szCs w:val="28"/>
        </w:rPr>
        <w:t xml:space="preserve">What This Tool Does</w:t>
      </w:r>
    </w:p>
    <w:p>
      <w:pPr>
        <w:spacing w:after="80" w:before="60"/>
      </w:pPr>
      <w:r>
        <w:rPr>
          <w:rFonts w:ascii="Arial" w:cs="Arial" w:eastAsia="Arial" w:hAnsi="Arial"/>
          <w:color w:val="2D3748"/>
          <w:sz w:val="20"/>
          <w:szCs w:val="20"/>
        </w:rPr>
        <w:t xml:space="preserve">The Crew Deployment Gantt shows where every crew is scheduled across all active Paragon jobs for the next 19 weeks. When supers submit their weekly headcount from the field, the Gantt overlays their actual numbers against the master schedule baseline so you can see at a glance who matched plan, who is under-manned, and who called an audible.</w:t>
      </w:r>
    </w:p>
    <w:p>
      <w:pPr>
        <w:spacing w:after="0" w:before="100"/>
      </w:pPr>
    </w:p>
    <w:p>
      <w:pPr>
        <w:pStyle w:val="Heading1"/>
        <w:pBdr>
          <w:bottom w:val="single" w:color="2F5496" w:sz="8" w:space="4"/>
        </w:pBdr>
        <w:spacing w:after="120" w:before="280"/>
      </w:pPr>
      <w:r>
        <w:rPr>
          <w:rFonts w:ascii="Arial" w:cs="Arial" w:eastAsia="Arial" w:hAnsi="Arial"/>
          <w:b/>
          <w:bCs/>
          <w:color w:val="1F3864"/>
          <w:sz w:val="28"/>
          <w:szCs w:val="28"/>
        </w:rPr>
        <w:t xml:space="preserve">How to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DCF0" w:sz="1"/>
              <w:left w:val="single" w:color="D4DCF0" w:sz="1"/>
              <w:bottom w:val="single" w:color="D4DCF0" w:sz="1"/>
              <w:right w:val="single" w:color="D4DCF0" w:sz="1"/>
            </w:tcBorders>
            <w:shd w:fill="EEF2FA" w:val="clear"/>
            <w:tcMar>
              <w:top w:type="dxa" w:w="80"/>
              <w:left w:type="dxa" w:w="120"/>
              <w:bottom w:type="dxa" w:w="80"/>
              <w:right w:type="dxa" w:w="120"/>
            </w:tcMar>
            <w:vAlign w:val="center"/>
          </w:tcPr>
          <w:p>
            <w:pPr>
              <w:jc w:val="left"/>
            </w:pPr>
            <w:r>
              <w:rPr>
                <w:rFonts w:ascii="Arial" w:cs="Arial" w:eastAsia="Arial" w:hAnsi="Arial"/>
                <w:color w:val="2D3748"/>
                <w:sz w:val="19"/>
                <w:szCs w:val="19"/>
              </w:rPr>
              <w:t xml:space="preserve">paragontulsaresults.com/crew-schedule.html</w:t>
            </w:r>
          </w:p>
        </w:tc>
      </w:tr>
    </w:tbl>
    <w:p>
      <w:pPr>
        <w:spacing w:after="0" w:before="60"/>
      </w:pPr>
    </w:p>
    <w:p>
      <w:pPr>
        <w:spacing w:after="80" w:before="60"/>
      </w:pPr>
      <w:r>
        <w:rPr>
          <w:rFonts w:ascii="Arial" w:cs="Arial" w:eastAsia="Arial" w:hAnsi="Arial"/>
          <w:color w:val="2D3748"/>
          <w:sz w:val="20"/>
          <w:szCs w:val="20"/>
        </w:rPr>
        <w:t xml:space="preserve">Bookmark this URL. Works in any browser on desktop, tablet, or phone.</w:t>
      </w:r>
    </w:p>
    <w:p>
      <w:pPr>
        <w:spacing w:after="0" w:before="100"/>
      </w:pPr>
    </w:p>
    <w:p>
      <w:pPr>
        <w:pStyle w:val="Heading1"/>
        <w:pBdr>
          <w:bottom w:val="single" w:color="2F5496" w:sz="8" w:space="4"/>
        </w:pBdr>
        <w:spacing w:after="120" w:before="280"/>
      </w:pPr>
      <w:r>
        <w:rPr>
          <w:rFonts w:ascii="Arial" w:cs="Arial" w:eastAsia="Arial" w:hAnsi="Arial"/>
          <w:b/>
          <w:bCs/>
          <w:color w:val="1F3864"/>
          <w:sz w:val="28"/>
          <w:szCs w:val="28"/>
        </w:rPr>
        <w:t xml:space="preserve">Loading Live Crew Data</w:t>
      </w:r>
    </w:p>
    <w:p>
      <w:pPr>
        <w:spacing w:after="80" w:before="60"/>
      </w:pPr>
      <w:r>
        <w:rPr>
          <w:rFonts w:ascii="Arial" w:cs="Arial" w:eastAsia="Arial" w:hAnsi="Arial"/>
          <w:color w:val="2D3748"/>
          <w:sz w:val="20"/>
          <w:szCs w:val="20"/>
        </w:rPr>
        <w:t xml:space="preserve">Supers submit their numbers from the field each Monday morning. To view their submissions: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rPr>
          <w:tblHeader/>
        </w:trPr>
        <w:tc>
          <w:tcPr>
            <w:tcW w:type="dxa" w:w="640"/>
            <w:tcBorders>
              <w:top w:val="single" w:color="D4DCF0" w:sz="1"/>
              <w:left w:val="single" w:color="D4DCF0" w:sz="1"/>
              <w:bottom w:val="single" w:color="D4DCF0" w:sz="1"/>
              <w:right w:val="single" w:color="D4DCF0"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Step</w:t>
            </w:r>
          </w:p>
        </w:tc>
        <w:tc>
          <w:tcPr>
            <w:tcW w:type="dxa" w:w="8720"/>
            <w:tcBorders>
              <w:top w:val="single" w:color="D4DCF0" w:sz="1"/>
              <w:left w:val="single" w:color="D4DCF0" w:sz="1"/>
              <w:bottom w:val="single" w:color="D4DCF0" w:sz="1"/>
              <w:right w:val="single" w:color="D4DCF0"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w:t>
            </w:r>
          </w:p>
        </w:tc>
      </w:tr>
      <w:tr>
        <w:tc>
          <w:tcPr>
            <w:tcW w:type="dxa" w:w="640"/>
            <w:tcBorders>
              <w:top w:val="single" w:color="D4DCF0" w:sz="1"/>
              <w:left w:val="single" w:color="D4DCF0" w:sz="1"/>
              <w:bottom w:val="single" w:color="D4DCF0" w:sz="1"/>
              <w:right w:val="single" w:color="D4DCF0" w:sz="1"/>
            </w:tcBorders>
            <w:shd w:fill="EEF2F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1</w:t>
            </w:r>
          </w:p>
        </w:tc>
        <w:tc>
          <w:tcPr>
            <w:tcW w:type="dxa" w:w="872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Go to crew-schedule.html</w:t>
            </w:r>
          </w:p>
        </w:tc>
      </w:tr>
      <w:tr>
        <w:tc>
          <w:tcPr>
            <w:tcW w:type="dxa" w:w="6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2</w:t>
            </w:r>
          </w:p>
        </w:tc>
        <w:tc>
          <w:tcPr>
            <w:tcW w:type="dxa" w:w="872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Set the WEEK date picker (top right) to the Monday of the week you want to review</w:t>
            </w:r>
          </w:p>
        </w:tc>
      </w:tr>
      <w:tr>
        <w:tc>
          <w:tcPr>
            <w:tcW w:type="dxa" w:w="640"/>
            <w:tcBorders>
              <w:top w:val="single" w:color="D4DCF0" w:sz="1"/>
              <w:left w:val="single" w:color="D4DCF0" w:sz="1"/>
              <w:bottom w:val="single" w:color="D4DCF0" w:sz="1"/>
              <w:right w:val="single" w:color="D4DCF0" w:sz="1"/>
            </w:tcBorders>
            <w:shd w:fill="EEF2FA"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3</w:t>
            </w:r>
          </w:p>
        </w:tc>
        <w:tc>
          <w:tcPr>
            <w:tcW w:type="dxa" w:w="872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Click the green "📡 Load Live Data" button</w:t>
            </w:r>
          </w:p>
        </w:tc>
      </w:tr>
      <w:tr>
        <w:tc>
          <w:tcPr>
            <w:tcW w:type="dxa" w:w="6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0"/>
                <w:szCs w:val="20"/>
              </w:rPr>
              <w:t xml:space="preserve">4</w:t>
            </w:r>
          </w:p>
        </w:tc>
        <w:tc>
          <w:tcPr>
            <w:tcW w:type="dxa" w:w="872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The green bar confirms: "Live: [Name(s)] — X row(s) for week of [date]"</w:t>
            </w:r>
          </w:p>
        </w:tc>
      </w:tr>
    </w:tbl>
    <w:p>
      <w:pPr>
        <w:spacing w:after="0" w:before="100"/>
      </w:pPr>
    </w:p>
    <w:p>
      <w:pPr>
        <w:pStyle w:val="Heading1"/>
        <w:pBdr>
          <w:bottom w:val="single" w:color="2F5496" w:sz="8" w:space="4"/>
        </w:pBdr>
        <w:spacing w:after="120" w:before="280"/>
      </w:pPr>
      <w:r>
        <w:rPr>
          <w:rFonts w:ascii="Arial" w:cs="Arial" w:eastAsia="Arial" w:hAnsi="Arial"/>
          <w:b/>
          <w:bCs/>
          <w:color w:val="1F3864"/>
          <w:sz w:val="28"/>
          <w:szCs w:val="28"/>
        </w:rPr>
        <w:t xml:space="preserve">Reading the Display</w:t>
      </w:r>
    </w:p>
    <w:p>
      <w:pPr>
        <w:pStyle w:val="Heading2"/>
        <w:spacing w:after="80" w:before="220"/>
      </w:pPr>
      <w:r>
        <w:rPr>
          <w:rFonts w:ascii="Arial" w:cs="Arial" w:eastAsia="Arial" w:hAnsi="Arial"/>
          <w:b/>
          <w:bCs/>
          <w:color w:val="2F5496"/>
          <w:sz w:val="22"/>
          <w:szCs w:val="22"/>
        </w:rPr>
        <w:t xml:space="preserve">Color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D4DCF0" w:sz="1"/>
              <w:left w:val="single" w:color="D4DCF0" w:sz="1"/>
              <w:bottom w:val="single" w:color="D4DCF0" w:sz="1"/>
              <w:right w:val="single" w:color="D4DCF0"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Color</w:t>
            </w:r>
          </w:p>
        </w:tc>
        <w:tc>
          <w:tcPr>
            <w:tcW w:type="dxa" w:w="2400"/>
            <w:tcBorders>
              <w:top w:val="single" w:color="D4DCF0" w:sz="1"/>
              <w:left w:val="single" w:color="D4DCF0" w:sz="1"/>
              <w:bottom w:val="single" w:color="D4DCF0" w:sz="1"/>
              <w:right w:val="single" w:color="D4DCF0"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Crew Type</w:t>
            </w:r>
          </w:p>
        </w:tc>
        <w:tc>
          <w:tcPr>
            <w:tcW w:type="dxa" w:w="5520"/>
            <w:tcBorders>
              <w:top w:val="single" w:color="D4DCF0" w:sz="1"/>
              <w:left w:val="single" w:color="D4DCF0" w:sz="1"/>
              <w:bottom w:val="single" w:color="D4DCF0" w:sz="1"/>
              <w:right w:val="single" w:color="D4DCF0"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Jobs</w:t>
            </w:r>
          </w:p>
        </w:tc>
      </w:tr>
      <w:tr>
        <w:tc>
          <w:tcPr>
            <w:tcW w:type="dxa" w:w="1440"/>
            <w:tcBorders>
              <w:top w:val="single" w:color="D4DCF0" w:sz="1"/>
              <w:left w:val="single" w:color="D4DCF0" w:sz="1"/>
              <w:bottom w:val="single" w:color="D4DCF0" w:sz="1"/>
              <w:right w:val="single" w:color="D4DCF0" w:sz="1"/>
            </w:tcBorders>
            <w:shd w:fill="E6F1FB" w:val="clear"/>
            <w:tcMar>
              <w:top w:type="dxa" w:w="80"/>
              <w:left w:type="dxa" w:w="120"/>
              <w:bottom w:type="dxa" w:w="80"/>
              <w:right w:type="dxa" w:w="120"/>
            </w:tcMar>
            <w:vAlign w:val="center"/>
          </w:tcPr>
          <w:p>
            <w:pPr>
              <w:jc w:val="left"/>
            </w:pPr>
            <w:r>
              <w:rPr>
                <w:rFonts w:ascii="Arial" w:cs="Arial" w:eastAsia="Arial" w:hAnsi="Arial"/>
                <w:b/>
                <w:bCs/>
                <w:color w:val="185FA5"/>
                <w:sz w:val="20"/>
                <w:szCs w:val="20"/>
              </w:rPr>
              <w:t xml:space="preserve">Blue</w:t>
            </w:r>
          </w:p>
        </w:tc>
        <w:tc>
          <w:tcPr>
            <w:tcW w:type="dxa" w:w="240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Site Crew</w:t>
            </w:r>
          </w:p>
        </w:tc>
        <w:tc>
          <w:tcPr>
            <w:tcW w:type="dxa" w:w="552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565, 574, 575, 577, 571, Rejoice, Riverline</w:t>
            </w:r>
          </w:p>
        </w:tc>
      </w:tr>
      <w:tr>
        <w:tc>
          <w:tcPr>
            <w:tcW w:type="dxa" w:w="1440"/>
            <w:tcBorders>
              <w:top w:val="single" w:color="D4DCF0" w:sz="1"/>
              <w:left w:val="single" w:color="D4DCF0" w:sz="1"/>
              <w:bottom w:val="single" w:color="D4DCF0" w:sz="1"/>
              <w:right w:val="single" w:color="D4DCF0" w:sz="1"/>
            </w:tcBorders>
            <w:shd w:fill="E1F5EE" w:val="clear"/>
            <w:tcMar>
              <w:top w:type="dxa" w:w="80"/>
              <w:left w:type="dxa" w:w="120"/>
              <w:bottom w:type="dxa" w:w="80"/>
              <w:right w:type="dxa" w:w="120"/>
            </w:tcMar>
            <w:vAlign w:val="center"/>
          </w:tcPr>
          <w:p>
            <w:pPr>
              <w:jc w:val="left"/>
            </w:pPr>
            <w:r>
              <w:rPr>
                <w:rFonts w:ascii="Arial" w:cs="Arial" w:eastAsia="Arial" w:hAnsi="Arial"/>
                <w:b/>
                <w:bCs/>
                <w:color w:val="0F6E56"/>
                <w:sz w:val="20"/>
                <w:szCs w:val="20"/>
              </w:rPr>
              <w:t xml:space="preserve">Teal</w:t>
            </w:r>
          </w:p>
        </w:tc>
        <w:tc>
          <w:tcPr>
            <w:tcW w:type="dxa" w:w="240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Utility Crew</w:t>
            </w:r>
          </w:p>
        </w:tc>
        <w:tc>
          <w:tcPr>
            <w:tcW w:type="dxa" w:w="552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566, 574 KSL, 565 Storm</w:t>
            </w:r>
          </w:p>
        </w:tc>
      </w:tr>
      <w:tr>
        <w:tc>
          <w:tcPr>
            <w:tcW w:type="dxa" w:w="1440"/>
            <w:tcBorders>
              <w:top w:val="single" w:color="D4DCF0" w:sz="1"/>
              <w:left w:val="single" w:color="D4DCF0" w:sz="1"/>
              <w:bottom w:val="single" w:color="D4DCF0" w:sz="1"/>
              <w:right w:val="single" w:color="D4DCF0" w:sz="1"/>
            </w:tcBorders>
            <w:shd w:fill="FAEEDA" w:val="clear"/>
            <w:tcMar>
              <w:top w:type="dxa" w:w="80"/>
              <w:left w:type="dxa" w:w="120"/>
              <w:bottom w:type="dxa" w:w="80"/>
              <w:right w:type="dxa" w:w="120"/>
            </w:tcMar>
            <w:vAlign w:val="center"/>
          </w:tcPr>
          <w:p>
            <w:pPr>
              <w:jc w:val="left"/>
            </w:pPr>
            <w:r>
              <w:rPr>
                <w:rFonts w:ascii="Arial" w:cs="Arial" w:eastAsia="Arial" w:hAnsi="Arial"/>
                <w:b/>
                <w:bCs/>
                <w:color w:val="854F0B"/>
                <w:sz w:val="20"/>
                <w:szCs w:val="20"/>
              </w:rPr>
              <w:t xml:space="preserve">Amber</w:t>
            </w:r>
          </w:p>
        </w:tc>
        <w:tc>
          <w:tcPr>
            <w:tcW w:type="dxa" w:w="240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Concrete Crew</w:t>
            </w:r>
          </w:p>
        </w:tc>
        <w:tc>
          <w:tcPr>
            <w:tcW w:type="dxa" w:w="552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565 Elm, 571 BA, Muskogee Punch List</w:t>
            </w:r>
          </w:p>
        </w:tc>
      </w:tr>
      <w:tr>
        <w:tc>
          <w:tcPr>
            <w:tcW w:type="dxa" w:w="1440"/>
            <w:tcBorders>
              <w:top w:val="single" w:color="D4DCF0" w:sz="1"/>
              <w:left w:val="single" w:color="D4DCF0" w:sz="1"/>
              <w:bottom w:val="single" w:color="D4DCF0" w:sz="1"/>
              <w:right w:val="single" w:color="D4DCF0" w:sz="1"/>
            </w:tcBorders>
            <w:shd w:fill="EAF3DE" w:val="clear"/>
            <w:tcMar>
              <w:top w:type="dxa" w:w="80"/>
              <w:left w:type="dxa" w:w="120"/>
              <w:bottom w:type="dxa" w:w="80"/>
              <w:right w:type="dxa" w:w="120"/>
            </w:tcMar>
            <w:vAlign w:val="center"/>
          </w:tcPr>
          <w:p>
            <w:pPr>
              <w:jc w:val="left"/>
            </w:pPr>
            <w:r>
              <w:rPr>
                <w:rFonts w:ascii="Arial" w:cs="Arial" w:eastAsia="Arial" w:hAnsi="Arial"/>
                <w:b/>
                <w:bCs/>
                <w:color w:val="3B6D11"/>
                <w:sz w:val="20"/>
                <w:szCs w:val="20"/>
              </w:rPr>
              <w:t xml:space="preserve">Green</w:t>
            </w:r>
          </w:p>
        </w:tc>
        <w:tc>
          <w:tcPr>
            <w:tcW w:type="dxa" w:w="240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Asphalt Crew</w:t>
            </w:r>
          </w:p>
        </w:tc>
        <w:tc>
          <w:tcPr>
            <w:tcW w:type="dxa" w:w="552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571 BA, Berryhill, Averitt, Rejoice, 565</w:t>
            </w:r>
          </w:p>
        </w:tc>
      </w:tr>
      <w:tr>
        <w:tc>
          <w:tcPr>
            <w:tcW w:type="dxa" w:w="1440"/>
            <w:tcBorders>
              <w:top w:val="single" w:color="D4DCF0" w:sz="1"/>
              <w:left w:val="single" w:color="D4DCF0" w:sz="1"/>
              <w:bottom w:val="single" w:color="D4DCF0" w:sz="1"/>
              <w:right w:val="single" w:color="D4DCF0" w:sz="1"/>
            </w:tcBorders>
            <w:shd w:fill="EEEDFE" w:val="clear"/>
            <w:tcMar>
              <w:top w:type="dxa" w:w="80"/>
              <w:left w:type="dxa" w:w="120"/>
              <w:bottom w:type="dxa" w:w="80"/>
              <w:right w:type="dxa" w:w="120"/>
            </w:tcMar>
            <w:vAlign w:val="center"/>
          </w:tcPr>
          <w:p>
            <w:pPr>
              <w:jc w:val="left"/>
            </w:pPr>
            <w:r>
              <w:rPr>
                <w:rFonts w:ascii="Arial" w:cs="Arial" w:eastAsia="Arial" w:hAnsi="Arial"/>
                <w:b/>
                <w:bCs/>
                <w:color w:val="534AB7"/>
                <w:sz w:val="20"/>
                <w:szCs w:val="20"/>
              </w:rPr>
              <w:t xml:space="preserve">Purple</w:t>
            </w:r>
          </w:p>
        </w:tc>
        <w:tc>
          <w:tcPr>
            <w:tcW w:type="dxa" w:w="240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NEI</w:t>
            </w:r>
          </w:p>
        </w:tc>
        <w:tc>
          <w:tcPr>
            <w:tcW w:type="dxa" w:w="552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20117 Walmart, 2147 Rudisill, 2151 ORU</w:t>
            </w:r>
          </w:p>
        </w:tc>
      </w:tr>
      <w:tr>
        <w:tc>
          <w:tcPr>
            <w:tcW w:type="dxa" w:w="1440"/>
            <w:tcBorders>
              <w:top w:val="single" w:color="D4DCF0" w:sz="1"/>
              <w:left w:val="single" w:color="D4DCF0" w:sz="1"/>
              <w:bottom w:val="single" w:color="D4DCF0" w:sz="1"/>
              <w:right w:val="single" w:color="D4DCF0" w:sz="1"/>
            </w:tcBorders>
            <w:shd w:fill="FAECE7" w:val="clear"/>
            <w:tcMar>
              <w:top w:type="dxa" w:w="80"/>
              <w:left w:type="dxa" w:w="120"/>
              <w:bottom w:type="dxa" w:w="80"/>
              <w:right w:type="dxa" w:w="120"/>
            </w:tcMar>
            <w:vAlign w:val="center"/>
          </w:tcPr>
          <w:p>
            <w:pPr>
              <w:jc w:val="left"/>
            </w:pPr>
            <w:r>
              <w:rPr>
                <w:rFonts w:ascii="Arial" w:cs="Arial" w:eastAsia="Arial" w:hAnsi="Arial"/>
                <w:b/>
                <w:bCs/>
                <w:color w:val="7B3010"/>
                <w:sz w:val="20"/>
                <w:szCs w:val="20"/>
              </w:rPr>
              <w:t xml:space="preserve">Dark Red</w:t>
            </w:r>
          </w:p>
        </w:tc>
        <w:tc>
          <w:tcPr>
            <w:tcW w:type="dxa" w:w="240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United Golf</w:t>
            </w:r>
          </w:p>
        </w:tc>
        <w:tc>
          <w:tcPr>
            <w:tcW w:type="dxa" w:w="552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20229 Caswell, 20242 Hardscrabble CC</w:t>
            </w:r>
          </w:p>
        </w:tc>
      </w:tr>
    </w:tbl>
    <w:p>
      <w:pPr>
        <w:spacing w:after="0" w:before="120"/>
      </w:pPr>
    </w:p>
    <w:p>
      <w:pPr>
        <w:pStyle w:val="Heading2"/>
        <w:spacing w:after="80" w:before="220"/>
      </w:pPr>
      <w:r>
        <w:rPr>
          <w:rFonts w:ascii="Arial" w:cs="Arial" w:eastAsia="Arial" w:hAnsi="Arial"/>
          <w:b/>
          <w:bCs/>
          <w:color w:val="2F5496"/>
          <w:sz w:val="22"/>
          <w:szCs w:val="22"/>
        </w:rPr>
        <w:t xml:space="preserve">Live Data Indicators</w:t>
      </w:r>
    </w:p>
    <w:p>
      <w:pPr>
        <w:spacing w:after="80" w:before="60"/>
      </w:pPr>
      <w:r>
        <w:rPr>
          <w:rFonts w:ascii="Arial" w:cs="Arial" w:eastAsia="Arial" w:hAnsi="Arial"/>
          <w:color w:val="2D3748"/>
          <w:sz w:val="20"/>
          <w:szCs w:val="20"/>
        </w:rPr>
        <w:t xml:space="preserve">When live data is loaded, cells with actual submissions show two chips stacked: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D4DCF0" w:sz="1"/>
              <w:left w:val="single" w:color="D4DCF0" w:sz="1"/>
              <w:bottom w:val="single" w:color="D4DCF0" w:sz="1"/>
              <w:right w:val="single" w:color="D4DCF0"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Indicator</w:t>
            </w:r>
          </w:p>
        </w:tc>
        <w:tc>
          <w:tcPr>
            <w:tcW w:type="dxa" w:w="7920"/>
            <w:tcBorders>
              <w:top w:val="single" w:color="D4DCF0" w:sz="1"/>
              <w:left w:val="single" w:color="D4DCF0" w:sz="1"/>
              <w:bottom w:val="single" w:color="D4DCF0" w:sz="1"/>
              <w:right w:val="single" w:color="D4DCF0"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Meaning</w:t>
            </w:r>
          </w:p>
        </w:tc>
      </w:tr>
      <w:tr>
        <w:tc>
          <w:tcPr>
            <w:tcW w:type="dxa" w:w="1440"/>
            <w:tcBorders>
              <w:top w:val="single" w:color="D4DCF0" w:sz="1"/>
              <w:left w:val="single" w:color="D4DCF0" w:sz="1"/>
              <w:bottom w:val="single" w:color="D4DCF0" w:sz="1"/>
              <w:right w:val="single" w:color="D4DCF0" w:sz="1"/>
            </w:tcBorders>
            <w:shd w:fill="EEF2F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Faded chip</w:t>
            </w:r>
          </w:p>
        </w:tc>
        <w:tc>
          <w:tcPr>
            <w:tcW w:type="dxa" w:w="792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Baseline from master schedule (what was planned)</w:t>
            </w:r>
          </w:p>
        </w:tc>
      </w:tr>
      <w:tr>
        <w:tc>
          <w:tcPr>
            <w:tcW w:type="dxa" w:w="1440"/>
            <w:tcBorders>
              <w:top w:val="single" w:color="D4DCF0" w:sz="1"/>
              <w:left w:val="single" w:color="D4DCF0" w:sz="1"/>
              <w:bottom w:val="single" w:color="D4DCF0" w:sz="1"/>
              <w:right w:val="single" w:color="D4DCF0" w:sz="1"/>
            </w:tcBorders>
            <w:shd w:fill="FFEBEE" w:val="clear"/>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 Red #</w:t>
            </w:r>
          </w:p>
        </w:tc>
        <w:tc>
          <w:tcPr>
            <w:tcW w:type="dxa" w:w="792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Actual is LOWER than scheduled. Under-manned. Flag for review.</w:t>
            </w:r>
          </w:p>
        </w:tc>
      </w:tr>
      <w:tr>
        <w:tc>
          <w:tcPr>
            <w:tcW w:type="dxa" w:w="1440"/>
            <w:tcBorders>
              <w:top w:val="single" w:color="D4DCF0" w:sz="1"/>
              <w:left w:val="single" w:color="D4DCF0" w:sz="1"/>
              <w:bottom w:val="single" w:color="D4DCF0" w:sz="1"/>
              <w:right w:val="single" w:color="D4DCF0" w:sz="1"/>
            </w:tcBorders>
            <w:shd w:fill="E8F5E9" w:val="clear"/>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 Green #</w:t>
            </w:r>
          </w:p>
        </w:tc>
        <w:tc>
          <w:tcPr>
            <w:tcW w:type="dxa" w:w="792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Actual is HIGHER than scheduled. Over-manned or scope added.</w:t>
            </w:r>
          </w:p>
        </w:tc>
      </w:tr>
      <w:tr>
        <w:tc>
          <w:tcPr>
            <w:tcW w:type="dxa" w:w="1440"/>
            <w:tcBorders>
              <w:top w:val="single" w:color="D4DCF0" w:sz="1"/>
              <w:left w:val="single" w:color="D4DCF0" w:sz="1"/>
              <w:bottom w:val="single" w:color="D4DCF0" w:sz="1"/>
              <w:right w:val="single" w:color="D4DCF0" w:sz="1"/>
            </w:tcBorders>
            <w:shd w:fill="EEF2FA"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 # same</w:t>
            </w:r>
          </w:p>
        </w:tc>
        <w:tc>
          <w:tcPr>
            <w:tcW w:type="dxa" w:w="792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Actual matches plan exactly.</w:t>
            </w:r>
          </w:p>
        </w:tc>
      </w:tr>
      <w:tr>
        <w:tc>
          <w:tcPr>
            <w:tcW w:type="dxa" w:w="14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No change</w:t>
            </w:r>
          </w:p>
        </w:tc>
        <w:tc>
          <w:tcPr>
            <w:tcW w:type="dxa" w:w="792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Super has not yet submitted for this week. Baseline only showing.</w:t>
            </w:r>
          </w:p>
        </w:tc>
      </w:tr>
    </w:tbl>
    <w:p>
      <w:pPr>
        <w:spacing w:after="0" w:before="120"/>
      </w:pPr>
    </w:p>
    <w:p>
      <w:pPr>
        <w:pStyle w:val="Heading2"/>
        <w:spacing w:after="80" w:before="220"/>
      </w:pPr>
      <w:r>
        <w:rPr>
          <w:rFonts w:ascii="Arial" w:cs="Arial" w:eastAsia="Arial" w:hAnsi="Arial"/>
          <w:b/>
          <w:bCs/>
          <w:color w:val="2F5496"/>
          <w:sz w:val="22"/>
          <w:szCs w:val="22"/>
        </w:rPr>
        <w:t xml:space="preserve">Filter Buttons</w:t>
      </w:r>
    </w:p>
    <w:p>
      <w:pPr>
        <w:spacing w:after="80" w:before="60"/>
      </w:pPr>
      <w:r>
        <w:rPr>
          <w:rFonts w:ascii="Arial" w:cs="Arial" w:eastAsia="Arial" w:hAnsi="Arial"/>
          <w:color w:val="2D3748"/>
          <w:sz w:val="20"/>
          <w:szCs w:val="20"/>
        </w:rPr>
        <w:t xml:space="preserve">Click any crew type button in the toolbar to isolate that crew across all projects. Click "All Groups" to return to the full view. Useful for Tyler when reviewing utility crew deployment across multiple active jobs simultaneously.</w:t>
      </w:r>
    </w:p>
    <w:p>
      <w:pPr>
        <w:spacing w:after="0" w:before="120"/>
      </w:pPr>
    </w:p>
    <w:p>
      <w:pPr>
        <w:pStyle w:val="Heading1"/>
        <w:pBdr>
          <w:bottom w:val="single" w:color="2F5496" w:sz="8" w:space="4"/>
        </w:pBdr>
        <w:spacing w:after="120" w:before="280"/>
      </w:pPr>
      <w:r>
        <w:rPr>
          <w:rFonts w:ascii="Arial" w:cs="Arial" w:eastAsia="Arial" w:hAnsi="Arial"/>
          <w:b/>
          <w:bCs/>
          <w:color w:val="1F3864"/>
          <w:sz w:val="28"/>
          <w:szCs w:val="28"/>
        </w:rPr>
        <w:t xml:space="preserve">Who Submits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rPr>
          <w:tblHeader/>
        </w:trPr>
        <w:tc>
          <w:tcPr>
            <w:tcW w:type="dxa" w:w="1440"/>
            <w:tcBorders>
              <w:top w:val="single" w:color="D4DCF0" w:sz="1"/>
              <w:left w:val="single" w:color="D4DCF0" w:sz="1"/>
              <w:bottom w:val="single" w:color="D4DCF0" w:sz="1"/>
              <w:right w:val="single" w:color="D4DCF0"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Name</w:t>
            </w:r>
          </w:p>
        </w:tc>
        <w:tc>
          <w:tcPr>
            <w:tcW w:type="dxa" w:w="2880"/>
            <w:tcBorders>
              <w:top w:val="single" w:color="D4DCF0" w:sz="1"/>
              <w:left w:val="single" w:color="D4DCF0" w:sz="1"/>
              <w:bottom w:val="single" w:color="D4DCF0" w:sz="1"/>
              <w:right w:val="single" w:color="D4DCF0"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Crew Type</w:t>
            </w:r>
          </w:p>
        </w:tc>
        <w:tc>
          <w:tcPr>
            <w:tcW w:type="dxa" w:w="5040"/>
            <w:tcBorders>
              <w:top w:val="single" w:color="D4DCF0" w:sz="1"/>
              <w:left w:val="single" w:color="D4DCF0" w:sz="1"/>
              <w:bottom w:val="single" w:color="D4DCF0" w:sz="1"/>
              <w:right w:val="single" w:color="D4DCF0"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Job(s)</w:t>
            </w:r>
          </w:p>
        </w:tc>
      </w:tr>
      <w:tr>
        <w:tc>
          <w:tcPr>
            <w:tcW w:type="dxa" w:w="14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Jared</w:t>
            </w:r>
          </w:p>
        </w:tc>
        <w:tc>
          <w:tcPr>
            <w:tcW w:type="dxa" w:w="288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Site + Asphalt</w:t>
            </w:r>
          </w:p>
        </w:tc>
        <w:tc>
          <w:tcPr>
            <w:tcW w:type="dxa" w:w="50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565 Jenks-Elm Street</w:t>
            </w:r>
          </w:p>
        </w:tc>
      </w:tr>
      <w:tr>
        <w:tc>
          <w:tcPr>
            <w:tcW w:type="dxa" w:w="14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Rolondo</w:t>
            </w:r>
          </w:p>
        </w:tc>
        <w:tc>
          <w:tcPr>
            <w:tcW w:type="dxa" w:w="288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Site</w:t>
            </w:r>
          </w:p>
        </w:tc>
        <w:tc>
          <w:tcPr>
            <w:tcW w:type="dxa" w:w="50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571 BA - Jasper/Aspen</w:t>
            </w:r>
          </w:p>
        </w:tc>
      </w:tr>
      <w:tr>
        <w:tc>
          <w:tcPr>
            <w:tcW w:type="dxa" w:w="14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Elijah</w:t>
            </w:r>
          </w:p>
        </w:tc>
        <w:tc>
          <w:tcPr>
            <w:tcW w:type="dxa" w:w="288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Site</w:t>
            </w:r>
          </w:p>
        </w:tc>
        <w:tc>
          <w:tcPr>
            <w:tcW w:type="dxa" w:w="50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575 SGL Airport</w:t>
            </w:r>
          </w:p>
        </w:tc>
      </w:tr>
      <w:tr>
        <w:tc>
          <w:tcPr>
            <w:tcW w:type="dxa" w:w="14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John</w:t>
            </w:r>
          </w:p>
        </w:tc>
        <w:tc>
          <w:tcPr>
            <w:tcW w:type="dxa" w:w="288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Site + Utility</w:t>
            </w:r>
          </w:p>
        </w:tc>
        <w:tc>
          <w:tcPr>
            <w:tcW w:type="dxa" w:w="50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574 COT 91st Street</w:t>
            </w:r>
          </w:p>
        </w:tc>
      </w:tr>
      <w:tr>
        <w:tc>
          <w:tcPr>
            <w:tcW w:type="dxa" w:w="14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Jimmy</w:t>
            </w:r>
          </w:p>
        </w:tc>
        <w:tc>
          <w:tcPr>
            <w:tcW w:type="dxa" w:w="288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Site</w:t>
            </w:r>
          </w:p>
        </w:tc>
        <w:tc>
          <w:tcPr>
            <w:tcW w:type="dxa" w:w="50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577 Kirby-Smith Yard</w:t>
            </w:r>
          </w:p>
        </w:tc>
      </w:tr>
      <w:tr>
        <w:tc>
          <w:tcPr>
            <w:tcW w:type="dxa" w:w="14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Randy</w:t>
            </w:r>
          </w:p>
        </w:tc>
        <w:tc>
          <w:tcPr>
            <w:tcW w:type="dxa" w:w="288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Concrete</w:t>
            </w:r>
          </w:p>
        </w:tc>
        <w:tc>
          <w:tcPr>
            <w:tcW w:type="dxa" w:w="50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565 Elm St, 571 BA, Muskogee Punch List</w:t>
            </w:r>
          </w:p>
        </w:tc>
      </w:tr>
      <w:tr>
        <w:tc>
          <w:tcPr>
            <w:tcW w:type="dxa" w:w="14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Sergio</w:t>
            </w:r>
          </w:p>
        </w:tc>
        <w:tc>
          <w:tcPr>
            <w:tcW w:type="dxa" w:w="288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Utility</w:t>
            </w:r>
          </w:p>
        </w:tc>
        <w:tc>
          <w:tcPr>
            <w:tcW w:type="dxa" w:w="50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566 COT Woodward Park</w:t>
            </w:r>
          </w:p>
        </w:tc>
      </w:tr>
      <w:tr>
        <w:tc>
          <w:tcPr>
            <w:tcW w:type="dxa" w:w="14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Anthony</w:t>
            </w:r>
          </w:p>
        </w:tc>
        <w:tc>
          <w:tcPr>
            <w:tcW w:type="dxa" w:w="288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Utility</w:t>
            </w:r>
          </w:p>
        </w:tc>
        <w:tc>
          <w:tcPr>
            <w:tcW w:type="dxa" w:w="50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565 Jenks-Elm Street (Storm)</w:t>
            </w:r>
          </w:p>
        </w:tc>
      </w:tr>
      <w:tr>
        <w:tc>
          <w:tcPr>
            <w:tcW w:type="dxa" w:w="14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Rye</w:t>
            </w:r>
          </w:p>
        </w:tc>
        <w:tc>
          <w:tcPr>
            <w:tcW w:type="dxa" w:w="288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Asphalt</w:t>
            </w:r>
          </w:p>
        </w:tc>
        <w:tc>
          <w:tcPr>
            <w:tcW w:type="dxa" w:w="5040"/>
            <w:tcBorders>
              <w:top w:val="single" w:color="D4DCF0" w:sz="1"/>
              <w:left w:val="single" w:color="D4DCF0" w:sz="1"/>
              <w:bottom w:val="single" w:color="D4DCF0" w:sz="1"/>
              <w:right w:val="single" w:color="D4DCF0" w:sz="1"/>
            </w:tcBorders>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571 BA, Berryhill - Sand Springs, Averitt</w:t>
            </w:r>
          </w:p>
        </w:tc>
      </w:tr>
      <w:tr>
        <w:tc>
          <w:tcPr>
            <w:tcW w:type="dxa" w:w="14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Miller</w:t>
            </w:r>
          </w:p>
        </w:tc>
        <w:tc>
          <w:tcPr>
            <w:tcW w:type="dxa" w:w="288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Concrete</w:t>
            </w:r>
          </w:p>
        </w:tc>
        <w:tc>
          <w:tcPr>
            <w:tcW w:type="dxa" w:w="5040"/>
            <w:tcBorders>
              <w:top w:val="single" w:color="D4DCF0" w:sz="1"/>
              <w:left w:val="single" w:color="D4DCF0" w:sz="1"/>
              <w:bottom w:val="single" w:color="D4DCF0" w:sz="1"/>
              <w:right w:val="single" w:color="D4DCF0" w:sz="1"/>
            </w:tcBorders>
            <w:shd w:fill="FFFFFF" w:val="clear"/>
            <w:tcMar>
              <w:top w:type="dxa" w:w="80"/>
              <w:left w:type="dxa" w:w="120"/>
              <w:bottom w:type="dxa" w:w="80"/>
              <w:right w:type="dxa" w:w="120"/>
            </w:tcMar>
            <w:vAlign w:val="center"/>
          </w:tcPr>
          <w:p>
            <w:pPr>
              <w:jc w:val="left"/>
            </w:pPr>
            <w:r>
              <w:rPr>
                <w:rFonts w:ascii="Arial" w:cs="Arial" w:eastAsia="Arial" w:hAnsi="Arial"/>
                <w:color w:val="000000"/>
                <w:sz w:val="20"/>
                <w:szCs w:val="20"/>
              </w:rPr>
              <w:t xml:space="preserve">566 Woodward Park</w:t>
            </w:r>
          </w:p>
        </w:tc>
      </w:tr>
    </w:tbl>
    <w:p>
      <w:pPr>
        <w:spacing w:after="0" w:before="120"/>
      </w:pPr>
    </w:p>
    <w:p>
      <w:pPr>
        <w:pStyle w:val="Heading1"/>
        <w:pBdr>
          <w:bottom w:val="single" w:color="2F5496" w:sz="8" w:space="4"/>
        </w:pBdr>
        <w:spacing w:after="120" w:before="280"/>
      </w:pPr>
      <w:r>
        <w:rPr>
          <w:rFonts w:ascii="Arial" w:cs="Arial" w:eastAsia="Arial" w:hAnsi="Arial"/>
          <w:b/>
          <w:bCs/>
          <w:color w:val="1F3864"/>
          <w:sz w:val="28"/>
          <w:szCs w:val="28"/>
        </w:rPr>
        <w:t xml:space="preserve">If Something Looks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1"/>
              <w:left w:val="single" w:color="A5D6A7" w:sz="1"/>
              <w:bottom w:val="single" w:color="A5D6A7" w:sz="1"/>
              <w:right w:val="single" w:color="A5D6A7" w:sz="1"/>
            </w:tcBorders>
            <w:shd w:fill="FFF3E0" w:val="clear"/>
            <w:tcMar>
              <w:top w:type="dxa" w:w="80"/>
              <w:left w:type="dxa" w:w="120"/>
              <w:bottom w:type="dxa" w:w="80"/>
              <w:right w:type="dxa" w:w="120"/>
            </w:tcMar>
            <w:vAlign w:val="center"/>
          </w:tcPr>
          <w:p>
            <w:pPr>
              <w:jc w:val="left"/>
            </w:pPr>
            <w:r>
              <w:rPr>
                <w:rFonts w:ascii="Arial" w:cs="Arial" w:eastAsia="Arial" w:hAnsi="Arial"/>
                <w:color w:val="2D3748"/>
                <w:sz w:val="19"/>
                <w:szCs w:val="19"/>
              </w:rPr>
              <w:t xml:space="preserve">If a super's numbers are not showing: (1) confirm they selected the correct week in the Look-Ahead tool, (2) confirm they saw the green confirmation bar, (3) check the week picker in the Gantt matches the week they submitted. The most common issue is a week date mismatch.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CF0" w:sz="4" w:space="4"/>
      </w:pBdr>
      <w:tabs>
        <w:tab w:val="right" w:pos="9026"/>
      </w:tabs>
    </w:pPr>
    <w:r>
      <w:rPr>
        <w:rFonts w:ascii="Arial" w:cs="Arial" w:eastAsia="Arial" w:hAnsi="Arial"/>
        <w:color w:val="8896B0"/>
        <w:sz w:val="16"/>
        <w:szCs w:val="16"/>
      </w:rPr>
      <w:t xml:space="preserve">Paragon Contractors LLC  |  Forrest Group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pPr>
    <w:r>
      <w:rPr>
        <w:rFonts w:ascii="Arial" w:cs="Arial" w:eastAsia="Arial" w:hAnsi="Arial"/>
        <w:b/>
        <w:bCs/>
        <w:color w:val="1F3864"/>
        <w:sz w:val="18"/>
        <w:szCs w:val="18"/>
      </w:rPr>
      <w:t xml:space="preserve">PARAGON CONTRACTORS  |  </w:t>
    </w:r>
    <w:r>
      <w:rPr>
        <w:rFonts w:ascii="Arial" w:cs="Arial" w:eastAsia="Arial" w:hAnsi="Arial"/>
        <w:color w:val="5A6A8A"/>
        <w:sz w:val="18"/>
        <w:szCs w:val="18"/>
      </w:rPr>
      <w:t xml:space="preserve">Crew Deployment Gantt — Manager Quick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2026-05-30T17:11:43.108Z</dcterms:created>
  <dcterms:modified xsi:type="dcterms:W3CDTF">2026-05-30T17:11:43.108Z</dcterms:modified>
</cp:coreProperties>
</file>

<file path=docProps/custom.xml><?xml version="1.0" encoding="utf-8"?>
<Properties xmlns="http://schemas.openxmlformats.org/officeDocument/2006/custom-properties" xmlns:vt="http://schemas.openxmlformats.org/officeDocument/2006/docPropsVTypes"/>
</file>