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C8240E">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C8240E">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C8240E">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C8240E">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C8240E">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C8240E">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C8240E">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C8240E">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C8240E">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C8240E">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C8240E">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C8240E">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C8240E">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C8240E">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C8240E">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C8240E">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C8240E">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5B220EAF" w14:textId="77777777" w:rsidR="00545CF3" w:rsidRDefault="00545CF3" w:rsidP="00545CF3">
      <w:pPr>
        <w:ind w:left="72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6221D5F4" w14:textId="48A4FB14"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080964CD" w14:textId="744D0E45" w:rsidR="4CA272D7" w:rsidRDefault="4CA272D7" w:rsidP="0D07F345">
      <w:pPr>
        <w:ind w:left="720"/>
        <w:rPr>
          <w:rFonts w:ascii="Calibri" w:eastAsia="Calibri" w:hAnsi="Calibri" w:cs="Calibri"/>
          <w:color w:val="333333"/>
        </w:rPr>
      </w:pPr>
      <w:r w:rsidRPr="0D07F345">
        <w:rPr>
          <w:rFonts w:ascii="Calibri" w:eastAsia="Calibri" w:hAnsi="Calibri" w:cs="Calibri"/>
          <w:color w:val="333333"/>
        </w:rPr>
        <w:t>text</w:t>
      </w: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48242572" w14:textId="0004BCCB" w:rsidR="006A5EF8" w:rsidRDefault="006A5EF8" w:rsidP="006A5EF8">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My name is Kirby Schwenke, I am 25 and based in Sydney. I enjoy spending time with my pets, turning my one-bedroom apartment into a plant sanctuary, walking my way around </w:t>
      </w:r>
      <w:r>
        <w:rPr>
          <w:rFonts w:ascii="Calibri" w:hAnsi="Calibri" w:cs="Calibri"/>
          <w:sz w:val="22"/>
          <w:szCs w:val="22"/>
        </w:rPr>
        <w:t>Sydney,</w:t>
      </w:r>
      <w:r>
        <w:rPr>
          <w:rFonts w:ascii="Calibri" w:hAnsi="Calibri" w:cs="Calibri"/>
          <w:sz w:val="22"/>
          <w:szCs w:val="22"/>
        </w:rPr>
        <w:t xml:space="preserve">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2112FC93" w14:textId="77777777" w:rsidR="006A5EF8" w:rsidRDefault="006A5EF8" w:rsidP="006A5EF8">
      <w:pPr>
        <w:pStyle w:val="NormalWeb"/>
        <w:spacing w:before="0" w:beforeAutospacing="0" w:after="0" w:afterAutospacing="0"/>
        <w:rPr>
          <w:rFonts w:ascii="Calibri" w:hAnsi="Calibri" w:cs="Calibri"/>
          <w:sz w:val="22"/>
          <w:szCs w:val="22"/>
        </w:rPr>
      </w:pP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04B7CB5" w14:textId="534463F7" w:rsidR="04CAF7D2" w:rsidRDefault="000E5FFD" w:rsidP="0D07F345">
      <w:pPr>
        <w:ind w:left="720"/>
        <w:rPr>
          <w:rFonts w:ascii="Calibri" w:eastAsia="Calibri" w:hAnsi="Calibri" w:cs="Calibri"/>
          <w:color w:val="333333"/>
        </w:rPr>
      </w:pPr>
      <w:r w:rsidRPr="0D07F345">
        <w:rPr>
          <w:rFonts w:ascii="Calibri" w:eastAsia="Calibri" w:hAnsi="Calibri" w:cs="Calibri"/>
          <w:color w:val="333333"/>
        </w:rPr>
        <w:t>T</w:t>
      </w:r>
      <w:r w:rsidR="04CAF7D2" w:rsidRPr="0D07F345">
        <w:rPr>
          <w:rFonts w:ascii="Calibri" w:eastAsia="Calibri" w:hAnsi="Calibri" w:cs="Calibri"/>
          <w:color w:val="333333"/>
        </w:rPr>
        <w:t>ext</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lastRenderedPageBreak/>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592873D4"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77777777"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t>Industry Data</w:t>
      </w:r>
      <w:bookmarkEnd w:id="7"/>
    </w:p>
    <w:p w14:paraId="7893CB20" w14:textId="58E48774" w:rsidR="00AA3B03" w:rsidRDefault="00AA3B03" w:rsidP="00AA3B03"/>
    <w:p w14:paraId="522D5EA8" w14:textId="505F86B6" w:rsidR="00AA3B03" w:rsidRDefault="00AA3B03" w:rsidP="00AA3B03">
      <w:r>
        <w:t>Text</w:t>
      </w:r>
    </w:p>
    <w:p w14:paraId="7BBFC350" w14:textId="77777777"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t>IT Work</w:t>
      </w:r>
      <w:bookmarkEnd w:id="8"/>
    </w:p>
    <w:p w14:paraId="0E535BFF" w14:textId="2EFCEC14" w:rsidR="00AA3B03" w:rsidRDefault="00AA3B03" w:rsidP="00AA3B03"/>
    <w:p w14:paraId="37F975B6" w14:textId="097224FD" w:rsidR="00AA3B03" w:rsidRDefault="00AA3B03" w:rsidP="00AA3B03">
      <w:r>
        <w:t>Text</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168018EC" w14:textId="77777777" w:rsidR="00F56ACE" w:rsidRPr="00F56ACE" w:rsidRDefault="00F56ACE" w:rsidP="00F56ACE">
      <w:pPr>
        <w:pStyle w:val="Heading5"/>
        <w:ind w:firstLine="720"/>
        <w:rPr>
          <w:b/>
          <w:bCs/>
        </w:rPr>
      </w:pPr>
      <w:r w:rsidRPr="00F56ACE">
        <w:rPr>
          <w:b/>
          <w:bCs/>
        </w:rPr>
        <w:t>Introduction</w:t>
      </w:r>
    </w:p>
    <w:p w14:paraId="4B48E216" w14:textId="77777777" w:rsidR="00F56ACE" w:rsidRDefault="00F56ACE" w:rsidP="00F56ACE">
      <w:pPr>
        <w:ind w:left="72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4616435A" w14:textId="77777777" w:rsidR="00F56ACE" w:rsidRDefault="00F56ACE" w:rsidP="00F56ACE">
      <w:pPr>
        <w:ind w:left="72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5F22B9F9" w14:textId="77777777" w:rsidR="00F56ACE" w:rsidRDefault="00F56ACE" w:rsidP="00F56ACE">
      <w:pPr>
        <w:ind w:left="720"/>
      </w:pPr>
      <w:r>
        <w:t xml:space="preserve">Cloud computing has been imperative in paving the way for developments through its ability to help “lower operational costs, run your infrastructure more efficiently and scale as your business needs change” (Microsoft, 2020). </w:t>
      </w:r>
    </w:p>
    <w:p w14:paraId="52455CF9" w14:textId="77777777" w:rsidR="00F56ACE" w:rsidRPr="00F56ACE" w:rsidRDefault="00F56ACE" w:rsidP="00F56ACE">
      <w:pPr>
        <w:pStyle w:val="Heading5"/>
        <w:ind w:firstLine="720"/>
        <w:rPr>
          <w:b/>
          <w:bCs/>
        </w:rPr>
      </w:pPr>
      <w:r w:rsidRPr="00F56ACE">
        <w:rPr>
          <w:b/>
          <w:bCs/>
        </w:rPr>
        <w:t>New Developments</w:t>
      </w:r>
    </w:p>
    <w:p w14:paraId="4A0C9C4A" w14:textId="77777777" w:rsidR="00F56ACE" w:rsidRPr="00646B9E" w:rsidRDefault="00F56ACE" w:rsidP="00F56ACE">
      <w:pPr>
        <w:ind w:left="72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60D4A8EF" w14:textId="77777777" w:rsidR="00F56ACE" w:rsidRPr="00134645" w:rsidRDefault="00F56ACE" w:rsidP="00F56ACE">
      <w:pPr>
        <w:ind w:left="720"/>
        <w:rPr>
          <w:b/>
          <w:bCs/>
        </w:rPr>
      </w:pPr>
      <w:r>
        <w:rPr>
          <w:b/>
          <w:bCs/>
        </w:rPr>
        <w:t>Omni-Cloud Computing</w:t>
      </w:r>
    </w:p>
    <w:p w14:paraId="5961C1CC" w14:textId="77777777" w:rsidR="00F56ACE" w:rsidRDefault="00F56ACE" w:rsidP="00F56ACE">
      <w:pPr>
        <w:ind w:left="72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16549B4F" w14:textId="77777777" w:rsidR="00F56ACE" w:rsidRPr="00BE191B" w:rsidRDefault="00F56ACE" w:rsidP="00F56ACE">
      <w:pPr>
        <w:ind w:left="720"/>
        <w:rPr>
          <w:b/>
          <w:bCs/>
        </w:rPr>
      </w:pPr>
      <w:r w:rsidRPr="00BE191B">
        <w:rPr>
          <w:b/>
          <w:bCs/>
        </w:rPr>
        <w:t>Edge Computing</w:t>
      </w:r>
    </w:p>
    <w:p w14:paraId="46D6E444" w14:textId="77777777" w:rsidR="00F56ACE" w:rsidRDefault="00F56ACE" w:rsidP="00F56ACE">
      <w:pPr>
        <w:ind w:left="72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w:t>
      </w:r>
      <w:r>
        <w:lastRenderedPageBreak/>
        <w:t xml:space="preserve">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3CFFD1E1" w14:textId="77777777" w:rsidR="00F56ACE" w:rsidRPr="00F56ACE" w:rsidRDefault="00F56ACE" w:rsidP="00F56ACE">
      <w:pPr>
        <w:pStyle w:val="Heading5"/>
        <w:ind w:firstLine="720"/>
        <w:rPr>
          <w:b/>
          <w:bCs/>
        </w:rPr>
      </w:pPr>
      <w:r w:rsidRPr="00F56ACE">
        <w:rPr>
          <w:b/>
          <w:bCs/>
        </w:rPr>
        <w:t>Impacts of New Developments</w:t>
      </w:r>
    </w:p>
    <w:p w14:paraId="3D238206" w14:textId="77777777" w:rsidR="00F56ACE" w:rsidRDefault="00F56ACE" w:rsidP="00F56ACE">
      <w:pPr>
        <w:ind w:left="720"/>
      </w:pPr>
      <w:r>
        <w:t>Developments in the clouds, services, and servers’ space such as omni-cloud computing and edge computing have significant impacts on the everyday lives of individuals in both their professional and personal settings.</w:t>
      </w:r>
    </w:p>
    <w:p w14:paraId="163FFF7E" w14:textId="77777777" w:rsidR="00F56ACE" w:rsidRPr="001C3790" w:rsidRDefault="00F56ACE" w:rsidP="00F56ACE">
      <w:pPr>
        <w:ind w:left="720"/>
        <w:rPr>
          <w:b/>
          <w:bCs/>
        </w:rPr>
      </w:pPr>
      <w:r w:rsidRPr="001C3790">
        <w:rPr>
          <w:b/>
          <w:bCs/>
        </w:rPr>
        <w:t xml:space="preserve">Omni-Cloud Computing </w:t>
      </w:r>
    </w:p>
    <w:p w14:paraId="30393A0C" w14:textId="77777777" w:rsidR="00F56ACE" w:rsidRDefault="00F56ACE" w:rsidP="00F56ACE">
      <w:pPr>
        <w:ind w:left="720"/>
      </w:pPr>
      <w:r>
        <w:t>Omni-Cloud computing,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1E74BDD2" w14:textId="77777777" w:rsidR="00F56ACE" w:rsidRPr="001C3790" w:rsidRDefault="00F56ACE" w:rsidP="00F56ACE">
      <w:pPr>
        <w:ind w:left="720"/>
        <w:rPr>
          <w:b/>
          <w:bCs/>
        </w:rPr>
      </w:pPr>
      <w:r w:rsidRPr="001C3790">
        <w:rPr>
          <w:b/>
          <w:bCs/>
        </w:rPr>
        <w:t>Edge Computing</w:t>
      </w:r>
    </w:p>
    <w:p w14:paraId="7FA2E47F" w14:textId="77777777" w:rsidR="00F56ACE" w:rsidRDefault="00F56ACE" w:rsidP="00F56ACE">
      <w:pPr>
        <w:ind w:left="72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on-premise data centers resulting in decreased jobs in the maintenance of this hardware. </w:t>
      </w:r>
    </w:p>
    <w:p w14:paraId="2724D9B8" w14:textId="77777777" w:rsidR="00F56ACE" w:rsidRPr="000D2B6F" w:rsidRDefault="00F56ACE" w:rsidP="000D2B6F">
      <w:pPr>
        <w:pStyle w:val="Heading5"/>
        <w:ind w:firstLine="720"/>
        <w:rPr>
          <w:b/>
          <w:bCs/>
        </w:rPr>
      </w:pPr>
      <w:r w:rsidRPr="000D2B6F">
        <w:rPr>
          <w:b/>
          <w:bCs/>
        </w:rPr>
        <w:t xml:space="preserve">How will this affect you? </w:t>
      </w:r>
    </w:p>
    <w:p w14:paraId="4BC12BCE" w14:textId="3C8C1FC9" w:rsidR="00F56ACE" w:rsidRDefault="00F56ACE" w:rsidP="00F56ACE">
      <w:pPr>
        <w:ind w:left="72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66AC3929" w14:textId="79C158AF" w:rsidR="00F56ACE" w:rsidRPr="00F56ACE" w:rsidRDefault="00F56ACE" w:rsidP="00F56ACE">
      <w:pPr>
        <w:ind w:left="720"/>
        <w:rPr>
          <w:b/>
          <w:bCs/>
        </w:rPr>
      </w:pPr>
      <w:r w:rsidRPr="00F56ACE">
        <w:rPr>
          <w:b/>
          <w:bCs/>
        </w:rPr>
        <w:lastRenderedPageBreak/>
        <w:t>Omni-Cloud Computing</w:t>
      </w:r>
    </w:p>
    <w:p w14:paraId="4CBA4E02" w14:textId="09742292" w:rsidR="00F56ACE" w:rsidRDefault="00F56ACE" w:rsidP="00F56ACE">
      <w:pPr>
        <w:ind w:left="72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475EEB38" w14:textId="3DD15353" w:rsidR="00F56ACE" w:rsidRPr="00F56ACE" w:rsidRDefault="00F56ACE" w:rsidP="00F56ACE">
      <w:pPr>
        <w:ind w:left="720"/>
        <w:rPr>
          <w:b/>
          <w:bCs/>
        </w:rPr>
      </w:pPr>
      <w:r w:rsidRPr="00F56ACE">
        <w:rPr>
          <w:b/>
          <w:bCs/>
        </w:rPr>
        <w:t>Edge Computing</w:t>
      </w:r>
    </w:p>
    <w:p w14:paraId="1ABB1DEE" w14:textId="5EE47E63" w:rsidR="00AA3B03" w:rsidRDefault="00F56ACE" w:rsidP="00F56ACE">
      <w:pPr>
        <w:ind w:left="72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7ED17E31" w14:textId="77777777" w:rsidR="00F56ACE" w:rsidRDefault="00F56ACE" w:rsidP="00F56ACE">
      <w:pPr>
        <w:ind w:left="720"/>
      </w:pPr>
    </w:p>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t>Upon consideration, the team has decided to move forward with the idea of sustainability in the form of an application. Global warming and the environment is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w:t>
      </w:r>
      <w:r w:rsidRPr="00581DA6">
        <w:rPr>
          <w:lang w:val="en-AU"/>
        </w:rPr>
        <w:lastRenderedPageBreak/>
        <w:t xml:space="preserve">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their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7777777" w:rsidR="00581DA6" w:rsidRPr="00581DA6" w:rsidRDefault="00581DA6" w:rsidP="00581DA6">
      <w:pPr>
        <w:rPr>
          <w:lang w:val="en-AU"/>
        </w:rPr>
      </w:pPr>
      <w:r w:rsidRPr="00581DA6">
        <w:rPr>
          <w:lang w:val="en-AU"/>
        </w:rPr>
        <w:lastRenderedPageBreak/>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proofErr w:type="spellStart"/>
      <w:r w:rsidRPr="00581DA6">
        <w:rPr>
          <w:lang w:val="en-AU"/>
        </w:rPr>
        <w:t>every day</w:t>
      </w:r>
      <w:proofErr w:type="spellEnd"/>
      <w:r w:rsidRPr="00581DA6">
        <w:rPr>
          <w:lang w:val="en-AU"/>
        </w:rPr>
        <w:t xml:space="preserve"> solutions, advice and ideas. Whether it be to local households or local businesses, it gives individuals an opportunity to be </w:t>
      </w:r>
      <w:proofErr w:type="spellStart"/>
      <w:r w:rsidRPr="00581DA6">
        <w:rPr>
          <w:lang w:val="en-AU"/>
        </w:rPr>
        <w:t>apart</w:t>
      </w:r>
      <w:proofErr w:type="spellEnd"/>
      <w:r w:rsidRPr="00581DA6">
        <w:rPr>
          <w:lang w:val="en-AU"/>
        </w:rPr>
        <w:t xml:space="preserve"> of, and connect with their community. </w:t>
      </w:r>
    </w:p>
    <w:p w14:paraId="5100EBC3" w14:textId="77777777" w:rsidR="00581DA6" w:rsidRPr="00581DA6" w:rsidRDefault="00581DA6" w:rsidP="00581DA6">
      <w:pPr>
        <w:rPr>
          <w:lang w:val="en-AU"/>
        </w:rPr>
      </w:pPr>
      <w:r w:rsidRPr="00581DA6">
        <w:rPr>
          <w:lang w:val="en-AU"/>
        </w:rPr>
        <w:t xml:space="preserve">Sustainable packaging is where business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proofErr w:type="spellStart"/>
      <w:r w:rsidRPr="00581DA6">
        <w:rPr>
          <w:lang w:val="en-AU"/>
        </w:rPr>
        <w:t>eco friendly</w:t>
      </w:r>
      <w:proofErr w:type="spellEnd"/>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t>References</w:t>
      </w:r>
      <w:bookmarkEnd w:id="20"/>
    </w:p>
    <w:p w14:paraId="5F901BB1" w14:textId="71D2C752" w:rsidR="00EA7E88" w:rsidRDefault="00EA7E88" w:rsidP="00EA7E88"/>
    <w:p w14:paraId="26404170" w14:textId="77777777" w:rsidR="00955FDC" w:rsidRPr="00955FDC" w:rsidRDefault="00955FDC" w:rsidP="00955FDC">
      <w:pPr>
        <w:ind w:left="360"/>
        <w:rPr>
          <w:rFonts w:cstheme="minorHAnsi"/>
          <w:color w:val="000000"/>
          <w:shd w:val="clear" w:color="auto" w:fill="FFFFFF"/>
        </w:rPr>
      </w:pPr>
      <w:r w:rsidRPr="00955FDC">
        <w:rPr>
          <w:rFonts w:cstheme="minorHAnsi"/>
          <w:color w:val="000000"/>
          <w:shd w:val="clear" w:color="auto" w:fill="FFFFFF"/>
        </w:rPr>
        <w:t>Bharadwaj, V., 2020. </w:t>
      </w:r>
      <w:r w:rsidRPr="00955FDC">
        <w:rPr>
          <w:rFonts w:cstheme="minorHAnsi"/>
          <w:i/>
          <w:iCs/>
          <w:color w:val="000000"/>
          <w:shd w:val="clear" w:color="auto" w:fill="FFFFFF"/>
        </w:rPr>
        <w:t>How Cloud Computing Is Enabling Omni-Channel Experiences | MS&amp;E 238 Blog</w:t>
      </w:r>
      <w:r w:rsidRPr="00955FDC">
        <w:rPr>
          <w:rFonts w:cstheme="minorHAnsi"/>
          <w:color w:val="000000"/>
          <w:shd w:val="clear" w:color="auto" w:fill="FFFFFF"/>
        </w:rPr>
        <w:t>. [online] Mse238blog.stanford.edu. Available at: &lt;https://mse238blog.stanford.edu/2018/07/varunb90/how-cloud-computing-is-enabling-omni-channel-experiences/&gt; [Accessed 18 July 2020].</w:t>
      </w:r>
    </w:p>
    <w:p w14:paraId="0A1B3D5B" w14:textId="77777777" w:rsidR="00955FDC" w:rsidRPr="00955FDC" w:rsidRDefault="00955FDC" w:rsidP="00955FDC">
      <w:pPr>
        <w:ind w:left="360"/>
        <w:rPr>
          <w:rFonts w:cstheme="minorHAnsi"/>
          <w:color w:val="000000"/>
          <w:shd w:val="clear" w:color="auto" w:fill="FFFFFF"/>
        </w:rPr>
      </w:pPr>
      <w:r w:rsidRPr="00955FDC">
        <w:rPr>
          <w:rFonts w:cstheme="minorHAnsi"/>
          <w:color w:val="000000"/>
          <w:shd w:val="clear" w:color="auto" w:fill="FFFFFF"/>
        </w:rPr>
        <w:t>Digital News Asia, 2020. </w:t>
      </w:r>
      <w:r w:rsidRPr="00955FDC">
        <w:rPr>
          <w:rFonts w:cstheme="minorHAnsi"/>
          <w:i/>
          <w:iCs/>
          <w:color w:val="000000"/>
          <w:shd w:val="clear" w:color="auto" w:fill="FFFFFF"/>
        </w:rPr>
        <w:t xml:space="preserve">Google Cloud Announces </w:t>
      </w:r>
      <w:proofErr w:type="spellStart"/>
      <w:r w:rsidRPr="00955FDC">
        <w:rPr>
          <w:rFonts w:cstheme="minorHAnsi"/>
          <w:i/>
          <w:iCs/>
          <w:color w:val="000000"/>
          <w:shd w:val="clear" w:color="auto" w:fill="FFFFFF"/>
        </w:rPr>
        <w:t>Bigquery</w:t>
      </w:r>
      <w:proofErr w:type="spellEnd"/>
      <w:r w:rsidRPr="00955FDC">
        <w:rPr>
          <w:rFonts w:cstheme="minorHAnsi"/>
          <w:i/>
          <w:iCs/>
          <w:color w:val="000000"/>
          <w:shd w:val="clear" w:color="auto" w:fill="FFFFFF"/>
        </w:rPr>
        <w:t xml:space="preserve"> Omni Multi-Cloud Analytics Solution, And Two New Security Offerings</w:t>
      </w:r>
      <w:r w:rsidRPr="00955FDC">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20D9377" w14:textId="77777777" w:rsidR="00955FDC" w:rsidRPr="00955FDC" w:rsidRDefault="00955FDC" w:rsidP="00955FDC">
      <w:pPr>
        <w:ind w:left="360"/>
        <w:rPr>
          <w:rFonts w:cstheme="minorHAnsi"/>
          <w:color w:val="000000"/>
          <w:shd w:val="clear" w:color="auto" w:fill="FFFFFF"/>
        </w:rPr>
      </w:pPr>
      <w:r w:rsidRPr="00955FDC">
        <w:rPr>
          <w:rFonts w:cstheme="minorHAnsi"/>
          <w:color w:val="000000"/>
          <w:shd w:val="clear" w:color="auto" w:fill="FFFFFF"/>
        </w:rPr>
        <w:lastRenderedPageBreak/>
        <w:t>Microsoft, 2020. </w:t>
      </w:r>
      <w:r w:rsidRPr="00955FDC">
        <w:rPr>
          <w:rFonts w:cstheme="minorHAnsi"/>
          <w:i/>
          <w:iCs/>
          <w:color w:val="000000"/>
          <w:shd w:val="clear" w:color="auto" w:fill="FFFFFF"/>
        </w:rPr>
        <w:t xml:space="preserve">What Is Cloud Computing? A </w:t>
      </w:r>
      <w:proofErr w:type="spellStart"/>
      <w:r w:rsidRPr="00955FDC">
        <w:rPr>
          <w:rFonts w:cstheme="minorHAnsi"/>
          <w:i/>
          <w:iCs/>
          <w:color w:val="000000"/>
          <w:shd w:val="clear" w:color="auto" w:fill="FFFFFF"/>
        </w:rPr>
        <w:t>Beginner’S</w:t>
      </w:r>
      <w:proofErr w:type="spellEnd"/>
      <w:r w:rsidRPr="00955FDC">
        <w:rPr>
          <w:rFonts w:cstheme="minorHAnsi"/>
          <w:i/>
          <w:iCs/>
          <w:color w:val="000000"/>
          <w:shd w:val="clear" w:color="auto" w:fill="FFFFFF"/>
        </w:rPr>
        <w:t xml:space="preserve"> Guide | Microsoft Azure</w:t>
      </w:r>
      <w:r w:rsidRPr="00955FDC">
        <w:rPr>
          <w:rFonts w:cstheme="minorHAnsi"/>
          <w:color w:val="000000"/>
          <w:shd w:val="clear" w:color="auto" w:fill="FFFFFF"/>
        </w:rPr>
        <w:t>. [online] Azure.microsoft.com. Available at: &lt;https://azure.microsoft.com/en-au/overview/what-is-cloud-computing/&gt; [Accessed 18 July 2020].</w:t>
      </w:r>
    </w:p>
    <w:p w14:paraId="6DDF1A0A" w14:textId="77777777" w:rsidR="00955FDC" w:rsidRPr="00955FDC" w:rsidRDefault="00955FDC" w:rsidP="00955FDC">
      <w:pPr>
        <w:ind w:left="360"/>
        <w:rPr>
          <w:rFonts w:cstheme="minorHAnsi"/>
        </w:rPr>
      </w:pPr>
      <w:proofErr w:type="spellStart"/>
      <w:r w:rsidRPr="00955FDC">
        <w:rPr>
          <w:rFonts w:cstheme="minorHAnsi"/>
        </w:rPr>
        <w:t>Petersson</w:t>
      </w:r>
      <w:proofErr w:type="spellEnd"/>
      <w:r w:rsidRPr="00955FDC">
        <w:rPr>
          <w:rFonts w:cstheme="minorHAnsi"/>
        </w:rPr>
        <w:t>, D., 2020. </w:t>
      </w:r>
      <w:r w:rsidRPr="00955FDC">
        <w:rPr>
          <w:rFonts w:cstheme="minorHAnsi"/>
          <w:i/>
          <w:iCs/>
        </w:rPr>
        <w:t>Top 7 Edge Computing Challenges In The Enterprise</w:t>
      </w:r>
      <w:r w:rsidRPr="00955FDC">
        <w:rPr>
          <w:rFonts w:cstheme="minorHAnsi"/>
        </w:rPr>
        <w:t xml:space="preserve">. [online] </w:t>
      </w:r>
      <w:proofErr w:type="spellStart"/>
      <w:r w:rsidRPr="00955FDC">
        <w:rPr>
          <w:rFonts w:cstheme="minorHAnsi"/>
        </w:rPr>
        <w:t>SearchCIO</w:t>
      </w:r>
      <w:proofErr w:type="spellEnd"/>
      <w:r w:rsidRPr="00955FDC">
        <w:rPr>
          <w:rFonts w:cstheme="minorHAnsi"/>
        </w:rPr>
        <w:t>. Available at: &lt;https://searchcio.techtarget.com/tip/Top-7-edge-computing-challenges-in-the-enterprise&gt; [Accessed 18 July 2020].</w:t>
      </w:r>
    </w:p>
    <w:p w14:paraId="22F6DB5C" w14:textId="77777777" w:rsidR="00955FDC" w:rsidRPr="00955FDC" w:rsidRDefault="00955FDC" w:rsidP="00955FDC">
      <w:pPr>
        <w:ind w:left="360"/>
        <w:rPr>
          <w:rFonts w:cstheme="minorHAnsi"/>
        </w:rPr>
      </w:pPr>
      <w:r w:rsidRPr="00955FDC">
        <w:rPr>
          <w:rFonts w:cstheme="minorHAnsi"/>
        </w:rPr>
        <w:t>Understanding E-Commerce, 2020. </w:t>
      </w:r>
      <w:r w:rsidRPr="00955FDC">
        <w:rPr>
          <w:rFonts w:cstheme="minorHAnsi"/>
          <w:i/>
          <w:iCs/>
        </w:rPr>
        <w:t>Omni Cloud Computing: Bright Future Ahead For Cloud Computing</w:t>
      </w:r>
      <w:r w:rsidRPr="00955FDC">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734A1749" w14:textId="77777777" w:rsidR="00955FDC" w:rsidRPr="00955FDC" w:rsidRDefault="00955FDC" w:rsidP="00955FDC">
      <w:pPr>
        <w:ind w:left="360"/>
        <w:rPr>
          <w:rFonts w:cstheme="minorHAnsi"/>
        </w:rPr>
      </w:pPr>
      <w:r w:rsidRPr="00955FDC">
        <w:rPr>
          <w:rFonts w:cstheme="minorHAnsi"/>
        </w:rPr>
        <w:t>Young, J., 2020. </w:t>
      </w:r>
      <w:r w:rsidRPr="00955FDC">
        <w:rPr>
          <w:rFonts w:cstheme="minorHAnsi"/>
          <w:i/>
          <w:iCs/>
        </w:rPr>
        <w:t xml:space="preserve">Dedicated Audio Processors At The Edge Are The Future. Here Are The Reasons Why - </w:t>
      </w:r>
      <w:proofErr w:type="spellStart"/>
      <w:r w:rsidRPr="00955FDC">
        <w:rPr>
          <w:rFonts w:cstheme="minorHAnsi"/>
          <w:i/>
          <w:iCs/>
        </w:rPr>
        <w:t>Voicebot.Ai</w:t>
      </w:r>
      <w:proofErr w:type="spellEnd"/>
      <w:r w:rsidRPr="00955FDC">
        <w:rPr>
          <w:rFonts w:cstheme="minorHAnsi"/>
        </w:rPr>
        <w:t>. [online] Voicebot.ai. Available at: &lt;https://voicebot.ai/2019/06/01/dedicated-audio-processors-at-the-edge-are-the-future-here-are-the-reasons-why/&gt; [Accessed 18 July 2020].</w:t>
      </w:r>
    </w:p>
    <w:p w14:paraId="3E35851B" w14:textId="77777777" w:rsidR="00955FDC" w:rsidRPr="00955FDC" w:rsidRDefault="00955FDC" w:rsidP="00955FDC">
      <w:pPr>
        <w:ind w:left="720"/>
      </w:pP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50BED" w14:textId="77777777" w:rsidR="00C8240E" w:rsidRDefault="00C8240E" w:rsidP="00AA3B03">
      <w:pPr>
        <w:spacing w:after="0" w:line="240" w:lineRule="auto"/>
      </w:pPr>
      <w:r>
        <w:separator/>
      </w:r>
    </w:p>
  </w:endnote>
  <w:endnote w:type="continuationSeparator" w:id="0">
    <w:p w14:paraId="5AD7C1F6" w14:textId="77777777" w:rsidR="00C8240E" w:rsidRDefault="00C8240E"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00A37" w14:textId="77777777" w:rsidR="00C8240E" w:rsidRDefault="00C8240E" w:rsidP="00AA3B03">
      <w:pPr>
        <w:spacing w:after="0" w:line="240" w:lineRule="auto"/>
      </w:pPr>
      <w:r>
        <w:separator/>
      </w:r>
    </w:p>
  </w:footnote>
  <w:footnote w:type="continuationSeparator" w:id="0">
    <w:p w14:paraId="35E9E4C9" w14:textId="77777777" w:rsidR="00C8240E" w:rsidRDefault="00C8240E"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8"/>
  </w:num>
  <w:num w:numId="5">
    <w:abstractNumId w:val="4"/>
  </w:num>
  <w:num w:numId="6">
    <w:abstractNumId w:val="17"/>
  </w:num>
  <w:num w:numId="7">
    <w:abstractNumId w:val="16"/>
  </w:num>
  <w:num w:numId="8">
    <w:abstractNumId w:val="3"/>
  </w:num>
  <w:num w:numId="9">
    <w:abstractNumId w:val="1"/>
  </w:num>
  <w:num w:numId="10">
    <w:abstractNumId w:val="15"/>
  </w:num>
  <w:num w:numId="11">
    <w:abstractNumId w:val="6"/>
  </w:num>
  <w:num w:numId="12">
    <w:abstractNumId w:val="11"/>
  </w:num>
  <w:num w:numId="13">
    <w:abstractNumId w:val="7"/>
  </w:num>
  <w:num w:numId="14">
    <w:abstractNumId w:val="2"/>
  </w:num>
  <w:num w:numId="15">
    <w:abstractNumId w:val="9"/>
  </w:num>
  <w:num w:numId="16">
    <w:abstractNumId w:val="14"/>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97CF3"/>
    <w:rsid w:val="000D2B6F"/>
    <w:rsid w:val="000E5FFD"/>
    <w:rsid w:val="00497FBA"/>
    <w:rsid w:val="004D014A"/>
    <w:rsid w:val="00545CF3"/>
    <w:rsid w:val="00581DA6"/>
    <w:rsid w:val="00658398"/>
    <w:rsid w:val="006A5EF8"/>
    <w:rsid w:val="006B62FE"/>
    <w:rsid w:val="006E0E34"/>
    <w:rsid w:val="008B4E47"/>
    <w:rsid w:val="00955FDC"/>
    <w:rsid w:val="00974C9E"/>
    <w:rsid w:val="00AA3B03"/>
    <w:rsid w:val="00BB179D"/>
    <w:rsid w:val="00C8240E"/>
    <w:rsid w:val="00E011E9"/>
    <w:rsid w:val="00E56CB8"/>
    <w:rsid w:val="00E92DFE"/>
    <w:rsid w:val="00EA7E88"/>
    <w:rsid w:val="00EE02AC"/>
    <w:rsid w:val="00F56ACE"/>
    <w:rsid w:val="00F67E35"/>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6A5EF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1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2.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4.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11</cp:revision>
  <dcterms:created xsi:type="dcterms:W3CDTF">2020-07-16T08:10:00Z</dcterms:created>
  <dcterms:modified xsi:type="dcterms:W3CDTF">2020-07-18T07:49:00Z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