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40"/>
      </w:pPr>
      <w:r>
        <w:rPr>
          <w:b/>
          <w:bCs/>
          <w:color w:val="1A3240"/>
          <w:sz w:val="40"/>
          <w:szCs w:val="40"/>
        </w:rPr>
        <w:t xml:space="preserve">Wertearchitektur</w:t>
      </w:r>
    </w:p>
    <w:p>
      <w:pPr>
        <w:spacing w:after="200"/>
      </w:pPr>
      <w:r>
        <w:rPr>
          <w:color w:val="4A7C8E"/>
          <w:sz w:val="24"/>
          <w:szCs w:val="24"/>
        </w:rPr>
        <w:t xml:space="preserve">Dr. Stephanie Rohac  ·  Kurzfassung</w:t>
      </w:r>
    </w:p>
    <w:p>
      <w:pPr>
        <w:pBdr>
          <w:bottom w:val="single" w:color="D5E2E8" w:sz="4" w:space="1"/>
        </w:pBdr>
        <w:spacing w:after="200" w:before="80"/>
      </w:pPr>
      <w:r>
        <w:t xml:space="preserve"/>
      </w:r>
    </w:p>
    <w:p>
      <w:pPr>
        <w:spacing w:after="80" w:before="60"/>
      </w:pPr>
      <w:r>
        <w:rPr>
          <w:i/>
          <w:iCs/>
          <w:color w:val="2E5666"/>
          <w:sz w:val="22"/>
          <w:szCs w:val="22"/>
        </w:rPr>
        <w:t xml:space="preserve">Fünf Werte in drei Schichten — wie Strömungen in unterschiedlichen Tiefen desselben Gewässers.</w:t>
      </w:r>
    </w:p>
    <w:p>
      <w:pPr>
        <w:spacing w:after="240" w:before="0" w:line="280"/>
        <w:jc w:val="both"/>
      </w:pPr>
      <w:r>
        <w:rPr>
          <w:sz w:val="20"/>
          <w:szCs w:val="20"/>
        </w:rPr>
        <w:t xml:space="preserve">Tiefe und Menschlichkeit bilden das Fundament. Orientierung und Wirksamkeit übersetzen es in Haltung. Entwicklung gibt die Dynamik. Gemeinsam tragen sie die Positionierung als strategische, psychologisch fundierte Vordenkerin und Gestalterin für wirksame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3160"/>
      </w:tblGrid>
      <w:tr>
        <w:tc>
          <w:tcPr>
            <w:tcW w:type="dxa" w:w="1500"/>
            <w:tcBorders>
              <w:top w:val="single" w:color="D9D9D9" w:sz="1"/>
              <w:left w:val="single" w:color="D9D9D9" w:sz="1"/>
              <w:bottom w:val="single" w:color="D9D9D9" w:sz="1"/>
              <w:right w:val="single" w:color="D9D9D9" w:sz="1"/>
            </w:tcBorders>
            <w:shd w:fill="1A3240" w:val="clear"/>
            <w:tcMar>
              <w:top w:type="dxa" w:w="80"/>
              <w:left w:type="dxa" w:w="120"/>
              <w:bottom w:type="dxa" w:w="80"/>
              <w:right w:type="dxa" w:w="120"/>
            </w:tcMar>
          </w:tcPr>
          <w:p>
            <w:pPr>
              <w:spacing w:after="40" w:before="40"/>
            </w:pPr>
            <w:r>
              <w:rPr>
                <w:b/>
                <w:bCs/>
                <w:i w:val="false"/>
                <w:iCs w:val="false"/>
                <w:color w:val="F4EFE5"/>
                <w:sz w:val="18"/>
                <w:szCs w:val="18"/>
              </w:rPr>
              <w:t xml:space="preserve">Schicht</w:t>
            </w:r>
          </w:p>
        </w:tc>
        <w:tc>
          <w:tcPr>
            <w:tcW w:type="dxa" w:w="1900"/>
            <w:tcBorders>
              <w:top w:val="single" w:color="D9D9D9" w:sz="1"/>
              <w:left w:val="single" w:color="D9D9D9" w:sz="1"/>
              <w:bottom w:val="single" w:color="D9D9D9" w:sz="1"/>
              <w:right w:val="single" w:color="D9D9D9" w:sz="1"/>
            </w:tcBorders>
            <w:shd w:fill="1A3240" w:val="clear"/>
            <w:tcMar>
              <w:top w:type="dxa" w:w="80"/>
              <w:left w:type="dxa" w:w="120"/>
              <w:bottom w:type="dxa" w:w="80"/>
              <w:right w:type="dxa" w:w="120"/>
            </w:tcMar>
          </w:tcPr>
          <w:p>
            <w:pPr>
              <w:spacing w:after="40" w:before="40"/>
            </w:pPr>
            <w:r>
              <w:rPr>
                <w:b/>
                <w:bCs/>
                <w:i w:val="false"/>
                <w:iCs w:val="false"/>
                <w:color w:val="F4EFE5"/>
                <w:sz w:val="18"/>
                <w:szCs w:val="18"/>
              </w:rPr>
              <w:t xml:space="preserve">Wert</w:t>
            </w:r>
          </w:p>
        </w:tc>
        <w:tc>
          <w:tcPr>
            <w:tcW w:type="dxa" w:w="2800"/>
            <w:tcBorders>
              <w:top w:val="single" w:color="D9D9D9" w:sz="1"/>
              <w:left w:val="single" w:color="D9D9D9" w:sz="1"/>
              <w:bottom w:val="single" w:color="D9D9D9" w:sz="1"/>
              <w:right w:val="single" w:color="D9D9D9" w:sz="1"/>
            </w:tcBorders>
            <w:shd w:fill="1A3240" w:val="clear"/>
            <w:tcMar>
              <w:top w:type="dxa" w:w="80"/>
              <w:left w:type="dxa" w:w="120"/>
              <w:bottom w:type="dxa" w:w="80"/>
              <w:right w:type="dxa" w:w="120"/>
            </w:tcMar>
          </w:tcPr>
          <w:p>
            <w:pPr>
              <w:spacing w:after="40" w:before="40"/>
            </w:pPr>
            <w:r>
              <w:rPr>
                <w:b/>
                <w:bCs/>
                <w:i w:val="false"/>
                <w:iCs w:val="false"/>
                <w:color w:val="F4EFE5"/>
                <w:sz w:val="18"/>
                <w:szCs w:val="18"/>
              </w:rPr>
              <w:t xml:space="preserve">Verb-Trias</w:t>
            </w:r>
          </w:p>
        </w:tc>
        <w:tc>
          <w:tcPr>
            <w:tcW w:type="dxa" w:w="3160"/>
            <w:tcBorders>
              <w:top w:val="single" w:color="D9D9D9" w:sz="1"/>
              <w:left w:val="single" w:color="D9D9D9" w:sz="1"/>
              <w:bottom w:val="single" w:color="D9D9D9" w:sz="1"/>
              <w:right w:val="single" w:color="D9D9D9" w:sz="1"/>
            </w:tcBorders>
            <w:shd w:fill="1A3240" w:val="clear"/>
            <w:tcMar>
              <w:top w:type="dxa" w:w="80"/>
              <w:left w:type="dxa" w:w="120"/>
              <w:bottom w:type="dxa" w:w="80"/>
              <w:right w:type="dxa" w:w="120"/>
            </w:tcMar>
          </w:tcPr>
          <w:p>
            <w:pPr>
              <w:spacing w:after="40" w:before="40"/>
            </w:pPr>
            <w:r>
              <w:rPr>
                <w:b/>
                <w:bCs/>
                <w:i w:val="false"/>
                <w:iCs w:val="false"/>
                <w:color w:val="F4EFE5"/>
                <w:sz w:val="18"/>
                <w:szCs w:val="18"/>
              </w:rPr>
              <w:t xml:space="preserve">Ein-Satz-Kern</w:t>
            </w:r>
          </w:p>
        </w:tc>
      </w:tr>
      <w:tr>
        <w:tc>
          <w:tcPr>
            <w:tcW w:type="dxa" w:w="1500"/>
            <w:tcBorders>
              <w:top w:val="single" w:color="D9D9D9" w:sz="1"/>
              <w:left w:val="single" w:color="D9D9D9" w:sz="1"/>
              <w:bottom w:val="single" w:color="D9D9D9" w:sz="1"/>
              <w:right w:val="single" w:color="D9D9D9" w:sz="1"/>
            </w:tcBorders>
            <w:shd w:fill="D5E2E8" w:val="clear"/>
            <w:tcMar>
              <w:top w:type="dxa" w:w="80"/>
              <w:left w:type="dxa" w:w="120"/>
              <w:bottom w:type="dxa" w:w="80"/>
              <w:right w:type="dxa" w:w="120"/>
            </w:tcMar>
          </w:tcPr>
          <w:p>
            <w:pPr>
              <w:spacing w:after="40" w:before="40"/>
            </w:pPr>
            <w:r>
              <w:rPr>
                <w:b/>
                <w:bCs/>
                <w:i w:val="false"/>
                <w:iCs w:val="false"/>
                <w:color w:val="2E281F"/>
                <w:sz w:val="18"/>
                <w:szCs w:val="18"/>
              </w:rPr>
              <w:t xml:space="preserve">Fundament</w:t>
            </w:r>
          </w:p>
        </w:tc>
        <w:tc>
          <w:tcPr>
            <w:tcW w:type="dxa" w:w="19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bCs/>
                <w:i w:val="false"/>
                <w:iCs w:val="false"/>
                <w:color w:val="2E281F"/>
                <w:sz w:val="19"/>
                <w:szCs w:val="19"/>
              </w:rPr>
              <w:t xml:space="preserve">Tiefe</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iCs/>
                <w:color w:val="2E281F"/>
                <w:sz w:val="18"/>
                <w:szCs w:val="18"/>
              </w:rPr>
              <w:t xml:space="preserve">wahrnehmen, eintauchen, loslassen</w:t>
            </w:r>
          </w:p>
        </w:tc>
        <w:tc>
          <w:tcPr>
            <w:tcW w:type="dxa" w:w="31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val="false"/>
                <w:iCs w:val="false"/>
                <w:color w:val="2E281F"/>
                <w:sz w:val="18"/>
                <w:szCs w:val="18"/>
              </w:rPr>
              <w:t xml:space="preserve">Ich gehe dahin, wo es unter der Oberfläche liegt.</w:t>
            </w:r>
          </w:p>
        </w:tc>
      </w:tr>
      <w:tr>
        <w:tc>
          <w:tcPr>
            <w:tcW w:type="dxa" w:w="1500"/>
            <w:tcBorders>
              <w:top w:val="single" w:color="D9D9D9" w:sz="1"/>
              <w:left w:val="single" w:color="D9D9D9" w:sz="1"/>
              <w:bottom w:val="single" w:color="D9D9D9" w:sz="1"/>
              <w:right w:val="single" w:color="D9D9D9" w:sz="1"/>
            </w:tcBorders>
            <w:shd w:fill="D5E2E8" w:val="clear"/>
            <w:tcMar>
              <w:top w:type="dxa" w:w="80"/>
              <w:left w:type="dxa" w:w="120"/>
              <w:bottom w:type="dxa" w:w="80"/>
              <w:right w:type="dxa" w:w="120"/>
            </w:tcMar>
          </w:tcPr>
          <w:p>
            <w:pPr>
              <w:spacing w:after="40" w:before="40"/>
            </w:pPr>
            <w:r>
              <w:rPr>
                <w:b/>
                <w:bCs/>
                <w:i w:val="false"/>
                <w:iCs w:val="false"/>
                <w:color w:val="2E281F"/>
                <w:sz w:val="18"/>
                <w:szCs w:val="18"/>
              </w:rPr>
              <w:t xml:space="preserve">Fundament</w:t>
            </w:r>
          </w:p>
        </w:tc>
        <w:tc>
          <w:tcPr>
            <w:tcW w:type="dxa" w:w="19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bCs/>
                <w:i w:val="false"/>
                <w:iCs w:val="false"/>
                <w:color w:val="2E281F"/>
                <w:sz w:val="19"/>
                <w:szCs w:val="19"/>
              </w:rPr>
              <w:t xml:space="preserve">Menschlichkeit</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iCs/>
                <w:color w:val="2E281F"/>
                <w:sz w:val="18"/>
                <w:szCs w:val="18"/>
              </w:rPr>
              <w:t xml:space="preserve">fühlen, einschwingen, verbinden</w:t>
            </w:r>
          </w:p>
        </w:tc>
        <w:tc>
          <w:tcPr>
            <w:tcW w:type="dxa" w:w="31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val="false"/>
                <w:iCs w:val="false"/>
                <w:color w:val="2E281F"/>
                <w:sz w:val="18"/>
                <w:szCs w:val="18"/>
              </w:rPr>
              <w:t xml:space="preserve">Der Mensch ist nicht Faktor, sondern Maßstab.</w:t>
            </w:r>
          </w:p>
        </w:tc>
      </w:tr>
      <w:tr>
        <w:tc>
          <w:tcPr>
            <w:tcW w:type="dxa" w:w="1500"/>
            <w:tcBorders>
              <w:top w:val="single" w:color="D9D9D9" w:sz="1"/>
              <w:left w:val="single" w:color="D9D9D9" w:sz="1"/>
              <w:bottom w:val="single" w:color="D9D9D9" w:sz="1"/>
              <w:right w:val="single" w:color="D9D9D9" w:sz="1"/>
            </w:tcBorders>
            <w:shd w:fill="EEE5D3" w:val="clear"/>
            <w:tcMar>
              <w:top w:type="dxa" w:w="80"/>
              <w:left w:type="dxa" w:w="120"/>
              <w:bottom w:type="dxa" w:w="80"/>
              <w:right w:type="dxa" w:w="120"/>
            </w:tcMar>
          </w:tcPr>
          <w:p>
            <w:pPr>
              <w:spacing w:after="40" w:before="40"/>
            </w:pPr>
            <w:r>
              <w:rPr>
                <w:b/>
                <w:bCs/>
                <w:i w:val="false"/>
                <w:iCs w:val="false"/>
                <w:color w:val="2E281F"/>
                <w:sz w:val="18"/>
                <w:szCs w:val="18"/>
              </w:rPr>
              <w:t xml:space="preserve">Haltung</w:t>
            </w:r>
          </w:p>
        </w:tc>
        <w:tc>
          <w:tcPr>
            <w:tcW w:type="dxa" w:w="19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bCs/>
                <w:i w:val="false"/>
                <w:iCs w:val="false"/>
                <w:color w:val="2E281F"/>
                <w:sz w:val="19"/>
                <w:szCs w:val="19"/>
              </w:rPr>
              <w:t xml:space="preserve">Orientierung</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iCs/>
                <w:color w:val="2E281F"/>
                <w:sz w:val="18"/>
                <w:szCs w:val="18"/>
              </w:rPr>
              <w:t xml:space="preserve">öffnen, durchdringen, ausrichten</w:t>
            </w:r>
          </w:p>
        </w:tc>
        <w:tc>
          <w:tcPr>
            <w:tcW w:type="dxa" w:w="31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val="false"/>
                <w:iCs w:val="false"/>
                <w:color w:val="2E281F"/>
                <w:sz w:val="18"/>
                <w:szCs w:val="18"/>
              </w:rPr>
              <w:t xml:space="preserve">Komplexität durchdringen, nicht verwalten.</w:t>
            </w:r>
          </w:p>
        </w:tc>
      </w:tr>
      <w:tr>
        <w:tc>
          <w:tcPr>
            <w:tcW w:type="dxa" w:w="1500"/>
            <w:tcBorders>
              <w:top w:val="single" w:color="D9D9D9" w:sz="1"/>
              <w:left w:val="single" w:color="D9D9D9" w:sz="1"/>
              <w:bottom w:val="single" w:color="D9D9D9" w:sz="1"/>
              <w:right w:val="single" w:color="D9D9D9" w:sz="1"/>
            </w:tcBorders>
            <w:shd w:fill="EEE5D3" w:val="clear"/>
            <w:tcMar>
              <w:top w:type="dxa" w:w="80"/>
              <w:left w:type="dxa" w:w="120"/>
              <w:bottom w:type="dxa" w:w="80"/>
              <w:right w:type="dxa" w:w="120"/>
            </w:tcMar>
          </w:tcPr>
          <w:p>
            <w:pPr>
              <w:spacing w:after="40" w:before="40"/>
            </w:pPr>
            <w:r>
              <w:rPr>
                <w:b/>
                <w:bCs/>
                <w:i w:val="false"/>
                <w:iCs w:val="false"/>
                <w:color w:val="2E281F"/>
                <w:sz w:val="18"/>
                <w:szCs w:val="18"/>
              </w:rPr>
              <w:t xml:space="preserve">Haltung</w:t>
            </w:r>
          </w:p>
        </w:tc>
        <w:tc>
          <w:tcPr>
            <w:tcW w:type="dxa" w:w="19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bCs/>
                <w:i w:val="false"/>
                <w:iCs w:val="false"/>
                <w:color w:val="2E281F"/>
                <w:sz w:val="19"/>
                <w:szCs w:val="19"/>
              </w:rPr>
              <w:t xml:space="preserve">Wirksamkeit</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iCs/>
                <w:color w:val="2E281F"/>
                <w:sz w:val="18"/>
                <w:szCs w:val="18"/>
              </w:rPr>
              <w:t xml:space="preserve">gestalten, befähigen, ermöglichen</w:t>
            </w:r>
          </w:p>
        </w:tc>
        <w:tc>
          <w:tcPr>
            <w:tcW w:type="dxa" w:w="31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val="false"/>
                <w:iCs w:val="false"/>
                <w:color w:val="2E281F"/>
                <w:sz w:val="18"/>
                <w:szCs w:val="18"/>
              </w:rPr>
              <w:t xml:space="preserve">Nicht nur verstehen, sondern gestalten.</w:t>
            </w:r>
          </w:p>
        </w:tc>
      </w:tr>
      <w:tr>
        <w:tc>
          <w:tcPr>
            <w:tcW w:type="dxa" w:w="1500"/>
            <w:tcBorders>
              <w:top w:val="single" w:color="D9D9D9" w:sz="1"/>
              <w:left w:val="single" w:color="D9D9D9" w:sz="1"/>
              <w:bottom w:val="single" w:color="D9D9D9" w:sz="1"/>
              <w:right w:val="single" w:color="D9D9D9" w:sz="1"/>
            </w:tcBorders>
            <w:shd w:fill="F4EFE5" w:val="clear"/>
            <w:tcMar>
              <w:top w:type="dxa" w:w="80"/>
              <w:left w:type="dxa" w:w="120"/>
              <w:bottom w:type="dxa" w:w="80"/>
              <w:right w:type="dxa" w:w="120"/>
            </w:tcMar>
          </w:tcPr>
          <w:p>
            <w:pPr>
              <w:spacing w:after="40" w:before="40"/>
            </w:pPr>
            <w:r>
              <w:rPr>
                <w:b/>
                <w:bCs/>
                <w:i w:val="false"/>
                <w:iCs w:val="false"/>
                <w:color w:val="2E281F"/>
                <w:sz w:val="18"/>
                <w:szCs w:val="18"/>
              </w:rPr>
              <w:t xml:space="preserve">Dynamik</w:t>
            </w:r>
          </w:p>
        </w:tc>
        <w:tc>
          <w:tcPr>
            <w:tcW w:type="dxa" w:w="19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bCs/>
                <w:i w:val="false"/>
                <w:iCs w:val="false"/>
                <w:color w:val="2E281F"/>
                <w:sz w:val="19"/>
                <w:szCs w:val="19"/>
              </w:rPr>
              <w:t xml:space="preserve">Entwicklung</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iCs/>
                <w:color w:val="2E281F"/>
                <w:sz w:val="18"/>
                <w:szCs w:val="18"/>
              </w:rPr>
              <w:t xml:space="preserve">irritieren, ermutigen, bewegen</w:t>
            </w:r>
          </w:p>
        </w:tc>
        <w:tc>
          <w:tcPr>
            <w:tcW w:type="dxa" w:w="31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40" w:before="40"/>
            </w:pPr>
            <w:r>
              <w:rPr>
                <w:b w:val="false"/>
                <w:bCs w:val="false"/>
                <w:i w:val="false"/>
                <w:iCs w:val="false"/>
                <w:color w:val="2E281F"/>
                <w:sz w:val="18"/>
                <w:szCs w:val="18"/>
              </w:rPr>
              <w:t xml:space="preserve">Stillstand ist keine Option.</w:t>
            </w:r>
          </w:p>
        </w:tc>
      </w:tr>
    </w:tbl>
    <w:p>
      <w:pPr>
        <w:spacing w:after="80" w:before="200"/>
      </w:pPr>
      <w:r>
        <w:t xml:space="preserve"/>
      </w:r>
    </w:p>
    <w:p>
      <w:pPr>
        <w:spacing w:after="60" w:before="320"/>
      </w:pPr>
      <w:r>
        <w:rPr>
          <w:b/>
          <w:bCs/>
          <w:color w:val="1A3240"/>
          <w:sz w:val="28"/>
          <w:szCs w:val="28"/>
        </w:rPr>
        <w:t xml:space="preserve">Tiefe</w:t>
      </w:r>
      <w:r>
        <w:t xml:space="preserve">   </w:t>
      </w:r>
      <w:r>
        <w:rPr>
          <w:i/>
          <w:iCs/>
          <w:color w:val="4A7C8E"/>
          <w:sz w:val="20"/>
          <w:szCs w:val="20"/>
        </w:rPr>
        <w:t xml:space="preserve">wahrnehmen, eintauchen, loslassen</w:t>
      </w:r>
    </w:p>
    <w:p>
      <w:pPr>
        <w:spacing w:after="100" w:before="0"/>
      </w:pPr>
      <w:r>
        <w:rPr>
          <w:b/>
          <w:bCs/>
          <w:i/>
          <w:iCs/>
          <w:sz w:val="21"/>
          <w:szCs w:val="21"/>
        </w:rPr>
        <w:t xml:space="preserve">Ich gehe dahin, wo es unter der Oberfläche liegt.</w:t>
      </w:r>
    </w:p>
    <w:p>
      <w:pPr>
        <w:spacing w:after="60" w:before="0" w:line="280"/>
        <w:jc w:val="both"/>
      </w:pPr>
      <w:r>
        <w:rPr>
          <w:sz w:val="20"/>
          <w:szCs w:val="20"/>
        </w:rPr>
        <w:t xml:space="preserve">Wirksame Transformation beginnt beim Verstehen dessen, was Organisationen wirklich bewegt — kulturelle Strömungen, psychologische Dynamiken, Muster unter der Oberfläche. Ich arbeite psychologisch fundiert, wissenschaftlich verankert und bleibe dort, wo andere abkürzen. Tiefe bedeutet auch: bereit sein, Gewissheiten loszulassen. Wer wirklich eintaucht, entdeckt nicht nur, was unter der Wasseroberfläche liegt — sondern auch, was bisher nur eine weitere Schicht war.</w:t>
      </w:r>
    </w:p>
    <w:p>
      <w:pPr>
        <w:pBdr>
          <w:bottom w:val="single" w:color="D5E2E8" w:sz="4" w:space="1"/>
        </w:pBdr>
        <w:spacing w:after="200" w:before="80"/>
      </w:pPr>
      <w:r>
        <w:t xml:space="preserve"/>
      </w:r>
    </w:p>
    <w:p>
      <w:pPr>
        <w:spacing w:after="60" w:before="320"/>
      </w:pPr>
      <w:r>
        <w:rPr>
          <w:b/>
          <w:bCs/>
          <w:color w:val="1A3240"/>
          <w:sz w:val="28"/>
          <w:szCs w:val="28"/>
        </w:rPr>
        <w:t xml:space="preserve">Menschlichkeit</w:t>
      </w:r>
      <w:r>
        <w:t xml:space="preserve">   </w:t>
      </w:r>
      <w:r>
        <w:rPr>
          <w:i/>
          <w:iCs/>
          <w:color w:val="4A7C8E"/>
          <w:sz w:val="20"/>
          <w:szCs w:val="20"/>
        </w:rPr>
        <w:t xml:space="preserve">fühlen, einschwingen, verbinden</w:t>
      </w:r>
    </w:p>
    <w:p>
      <w:pPr>
        <w:spacing w:after="100" w:before="0"/>
      </w:pPr>
      <w:r>
        <w:rPr>
          <w:b/>
          <w:bCs/>
          <w:i/>
          <w:iCs/>
          <w:sz w:val="21"/>
          <w:szCs w:val="21"/>
        </w:rPr>
        <w:t xml:space="preserve">Der Mensch ist nicht Faktor, sondern Maßstab.</w:t>
      </w:r>
    </w:p>
    <w:p>
      <w:pPr>
        <w:spacing w:after="60" w:before="0" w:line="280"/>
        <w:jc w:val="both"/>
      </w:pPr>
      <w:r>
        <w:rPr>
          <w:sz w:val="20"/>
          <w:szCs w:val="20"/>
        </w:rPr>
        <w:t xml:space="preserve">Transformation gelingt durch Menschen, nicht durch Prozesse. Ich arbeite mit Feingefühl und Perspektivwechsel — mit dem Gespür dafür, dass das Sichtbare oft nur ein Bruchteil ist, wie bei einem Eisberg unter der Oberfläche. Menschlichkeit ist kein Weichzeichner. Sie ist die Bereitschaft, sich auf die volle Komplexität einzulassen und Verbindung auch dort zu halten, wo es schwierig wird.</w:t>
      </w:r>
    </w:p>
    <w:p>
      <w:pPr>
        <w:pBdr>
          <w:bottom w:val="single" w:color="D5E2E8" w:sz="4" w:space="1"/>
        </w:pBdr>
        <w:spacing w:after="200" w:before="80"/>
      </w:pPr>
      <w:r>
        <w:t xml:space="preserve"/>
      </w:r>
    </w:p>
    <w:p>
      <w:pPr>
        <w:spacing w:after="60" w:before="320"/>
      </w:pPr>
      <w:r>
        <w:rPr>
          <w:b/>
          <w:bCs/>
          <w:color w:val="1A3240"/>
          <w:sz w:val="28"/>
          <w:szCs w:val="28"/>
        </w:rPr>
        <w:t xml:space="preserve">Orientierung</w:t>
      </w:r>
      <w:r>
        <w:t xml:space="preserve">   </w:t>
      </w:r>
      <w:r>
        <w:rPr>
          <w:i/>
          <w:iCs/>
          <w:color w:val="4A7C8E"/>
          <w:sz w:val="20"/>
          <w:szCs w:val="20"/>
        </w:rPr>
        <w:t xml:space="preserve">öffnen, durchdringen, ausrichten</w:t>
      </w:r>
    </w:p>
    <w:p>
      <w:pPr>
        <w:spacing w:after="100" w:before="0"/>
      </w:pPr>
      <w:r>
        <w:rPr>
          <w:b/>
          <w:bCs/>
          <w:i/>
          <w:iCs/>
          <w:sz w:val="21"/>
          <w:szCs w:val="21"/>
        </w:rPr>
        <w:t xml:space="preserve">Komplexität durchdringen, nicht verwalten.</w:t>
      </w:r>
    </w:p>
    <w:p>
      <w:pPr>
        <w:spacing w:after="60" w:before="0" w:line="280"/>
        <w:jc w:val="both"/>
      </w:pPr>
      <w:r>
        <w:rPr>
          <w:sz w:val="20"/>
          <w:szCs w:val="20"/>
        </w:rPr>
        <w:t xml:space="preserve">Orientierung entsteht, wenn Komplexität so durchdrungen wird, dass Richtung sichtbar wird — wie ein Leuchtfeuer, das nicht die See beruhigt, aber den Kurs erkennbar macht. Ich öffne Räume, in denen gedacht werden kann, was vorher nicht denkbar war. Und ich richte aus — nicht als Anweisung, sondern als Klärung dessen, was wirklich zählt. Besonders dann, wenn alte Karten nicht mehr stimmen.</w:t>
      </w:r>
    </w:p>
    <w:p>
      <w:pPr>
        <w:pBdr>
          <w:bottom w:val="single" w:color="D5E2E8" w:sz="4" w:space="1"/>
        </w:pBdr>
        <w:spacing w:after="200" w:before="80"/>
      </w:pPr>
      <w:r>
        <w:t xml:space="preserve"/>
      </w:r>
    </w:p>
    <w:p>
      <w:pPr>
        <w:spacing w:after="60" w:before="320"/>
      </w:pPr>
      <w:r>
        <w:rPr>
          <w:b/>
          <w:bCs/>
          <w:color w:val="1A3240"/>
          <w:sz w:val="28"/>
          <w:szCs w:val="28"/>
        </w:rPr>
        <w:t xml:space="preserve">Wirksamkeit</w:t>
      </w:r>
      <w:r>
        <w:t xml:space="preserve">   </w:t>
      </w:r>
      <w:r>
        <w:rPr>
          <w:i/>
          <w:iCs/>
          <w:color w:val="4A7C8E"/>
          <w:sz w:val="20"/>
          <w:szCs w:val="20"/>
        </w:rPr>
        <w:t xml:space="preserve">gestalten, befähigen, ermöglichen</w:t>
      </w:r>
    </w:p>
    <w:p>
      <w:pPr>
        <w:spacing w:after="100" w:before="0"/>
      </w:pPr>
      <w:r>
        <w:rPr>
          <w:b/>
          <w:bCs/>
          <w:i/>
          <w:iCs/>
          <w:sz w:val="21"/>
          <w:szCs w:val="21"/>
        </w:rPr>
        <w:t xml:space="preserve">Nicht nur verstehen, sondern gestalten.</w:t>
      </w:r>
    </w:p>
    <w:p>
      <w:pPr>
        <w:spacing w:after="60" w:before="0" w:line="280"/>
        <w:jc w:val="both"/>
      </w:pPr>
      <w:r>
        <w:rPr>
          <w:sz w:val="20"/>
          <w:szCs w:val="20"/>
        </w:rPr>
        <w:t xml:space="preserve">Hat sich etwas verändert? Nicht: War es klug? Sondern: Wirkt es? Ich gestalte Veränderung mit, befähige Menschen, ihre eigene Wirksamkeit zu entfalten, und schaffe Bedingungen, unter denen Wirkung im System entstehen kann — wie ein Strom, der nicht einzelne Tropfen bewegt, sondern das ganze Flussbett. Die höchste Form von Wirksamkeit ist, Wirkung zu ermöglichen.</w:t>
      </w:r>
    </w:p>
    <w:p>
      <w:pPr>
        <w:pBdr>
          <w:bottom w:val="single" w:color="D5E2E8" w:sz="4" w:space="1"/>
        </w:pBdr>
        <w:spacing w:after="200" w:before="80"/>
      </w:pPr>
      <w:r>
        <w:t xml:space="preserve"/>
      </w:r>
    </w:p>
    <w:p>
      <w:pPr>
        <w:spacing w:after="60" w:before="320"/>
      </w:pPr>
      <w:r>
        <w:rPr>
          <w:b/>
          <w:bCs/>
          <w:color w:val="1A3240"/>
          <w:sz w:val="28"/>
          <w:szCs w:val="28"/>
        </w:rPr>
        <w:t xml:space="preserve">Entwicklung</w:t>
      </w:r>
      <w:r>
        <w:t xml:space="preserve">   </w:t>
      </w:r>
      <w:r>
        <w:rPr>
          <w:i/>
          <w:iCs/>
          <w:color w:val="4A7C8E"/>
          <w:sz w:val="20"/>
          <w:szCs w:val="20"/>
        </w:rPr>
        <w:t xml:space="preserve">irritieren, ermutigen, bewegen</w:t>
      </w:r>
    </w:p>
    <w:p>
      <w:pPr>
        <w:spacing w:after="100" w:before="0"/>
      </w:pPr>
      <w:r>
        <w:rPr>
          <w:b/>
          <w:bCs/>
          <w:i/>
          <w:iCs/>
          <w:sz w:val="21"/>
          <w:szCs w:val="21"/>
        </w:rPr>
        <w:t xml:space="preserve">Stillstand ist keine Option. Flow ist der Zustand, den ich suche.</w:t>
      </w:r>
    </w:p>
    <w:p>
      <w:pPr>
        <w:spacing w:after="60" w:before="0" w:line="280"/>
        <w:jc w:val="both"/>
      </w:pPr>
      <w:r>
        <w:rPr>
          <w:sz w:val="20"/>
          <w:szCs w:val="20"/>
        </w:rPr>
        <w:t xml:space="preserve">Entwicklung beginnt mit einer Irritation — einer Frage, die stört, einem Impuls, der aus dem Gewohnten herausführt. Aber Irritation allein reicht nicht. Wer irritiert, ohne zu ermutigen, erzeugt Rückzug. Deshalb folgt auf die Störung der Zuspruch: die Ermutigung, den neuen Kurs zu halten, auch wenn die Gewässer noch unvertraut sind. Am Ende steht Bewegung — Flow als der Zustand, in dem Komplexität nicht belastet, sondern trägt.</w:t>
      </w:r>
    </w:p>
    <w:p>
      <w:pPr>
        <w:pBdr>
          <w:bottom w:val="single" w:color="D5E2E8" w:sz="4" w:space="1"/>
        </w:pBdr>
        <w:spacing w:after="200" w:before="80"/>
      </w:pPr>
      <w:r>
        <w:t xml:space="preserve"/>
      </w:r>
    </w:p>
    <w:p>
      <w:pPr>
        <w:spacing w:after="60" w:before="200"/>
      </w:pPr>
      <w:r>
        <w:rPr>
          <w:i/>
          <w:iCs/>
          <w:color w:val="8C8C8C"/>
          <w:sz w:val="18"/>
          <w:szCs w:val="18"/>
        </w:rPr>
        <w:t xml:space="preserve">Ausführliche Fassung mit inneren Dramaturgien, Systemeinordnung und Anwendungshinweisen: siehe Wertearchitektur (Langfassung).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4BBA8"/>
        <w:sz w:val="16"/>
        <w:szCs w:val="16"/>
      </w:rPr>
      <w:t xml:space="preserve">Dr. Stephanie Rohac   ·   Wertearchitektur   ·   Kurzfassung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4BBA8"/>
        <w:sz w:val="16"/>
        <w:szCs w:val="16"/>
      </w:rPr>
      <w:t xml:space="preserve">Culture Drives 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Wertearchitektur Kurzfassung — Dr. Stephanie Rohac</dc:title>
  <dc:creator>Desiree</dc:creator>
  <cp:lastModifiedBy>Un-named</cp:lastModifiedBy>
  <cp:revision>1</cp:revision>
  <dcterms:created xsi:type="dcterms:W3CDTF">2026-04-17T06:27:31.913Z</dcterms:created>
  <dcterms:modified xsi:type="dcterms:W3CDTF">2026-04-17T06:27:31.914Z</dcterms:modified>
</cp:coreProperties>
</file>

<file path=docProps/custom.xml><?xml version="1.0" encoding="utf-8"?>
<Properties xmlns="http://schemas.openxmlformats.org/officeDocument/2006/custom-properties" xmlns:vt="http://schemas.openxmlformats.org/officeDocument/2006/docPropsVTypes"/>
</file>