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1E5194" w14:textId="77777777" w:rsidR="005F4BD7" w:rsidRDefault="005F4BD7" w:rsidP="005F4BD7">
      <w:pPr>
        <w:pStyle w:val="2"/>
        <w:spacing w:before="90" w:after="90"/>
        <w:rPr>
          <w:rFonts w:ascii="Lato" w:hAnsi="Lato"/>
          <w:color w:val="273540"/>
          <w:sz w:val="43"/>
          <w:szCs w:val="43"/>
        </w:rPr>
      </w:pPr>
      <w:r>
        <w:rPr>
          <w:rStyle w:val="ae"/>
          <w:rFonts w:ascii="Lato" w:hAnsi="Lato"/>
          <w:b w:val="0"/>
          <w:bCs w:val="0"/>
          <w:color w:val="273540"/>
          <w:sz w:val="43"/>
          <w:szCs w:val="43"/>
        </w:rPr>
        <w:t>Enterprise AI Systems Architecture &amp; Infrastructure Scaling Capstone</w:t>
      </w:r>
    </w:p>
    <w:p w14:paraId="7B2C7161" w14:textId="77777777" w:rsidR="005F4BD7" w:rsidRDefault="005F4BD7" w:rsidP="005F4BD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  <w:sz w:val="24"/>
        </w:rPr>
      </w:pPr>
      <w:r>
        <w:rPr>
          <w:rStyle w:val="ae"/>
          <w:rFonts w:ascii="Lato" w:hAnsi="Lato"/>
          <w:color w:val="273540"/>
        </w:rPr>
        <w:t>Final Deliverable Due Date: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Friday, August 14, 2026, at 11:59 PM PDT</w:t>
      </w:r>
    </w:p>
    <w:p w14:paraId="7306958A" w14:textId="77777777" w:rsidR="005F4BD7" w:rsidRDefault="005F4BD7" w:rsidP="005F4BD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Style w:val="ae"/>
          <w:rFonts w:ascii="Lato" w:hAnsi="Lato"/>
          <w:color w:val="273540"/>
        </w:rPr>
        <w:t>Total Points: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100 (Counted toward your core project grading weight)</w:t>
      </w:r>
    </w:p>
    <w:p w14:paraId="5EA3C059" w14:textId="77777777" w:rsidR="005F4BD7" w:rsidRDefault="005F4BD7" w:rsidP="005F4BD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Style w:val="ae"/>
          <w:rFonts w:ascii="Lato" w:hAnsi="Lato"/>
          <w:color w:val="273540"/>
        </w:rPr>
        <w:t>Collaboration Policy: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Individual or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Style w:val="ae"/>
          <w:rFonts w:ascii="Lato" w:hAnsi="Lato"/>
          <w:color w:val="273540"/>
        </w:rPr>
        <w:t>Groups of up to 2 students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are allowed.</w:t>
      </w:r>
    </w:p>
    <w:p w14:paraId="4B1701DB" w14:textId="77777777" w:rsidR="005F4BD7" w:rsidRDefault="005F4BD7" w:rsidP="005F4BD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Style w:val="ae"/>
          <w:rFonts w:ascii="Lato" w:hAnsi="Lato"/>
          <w:color w:val="273540"/>
        </w:rPr>
        <w:t>Submission Format: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A complete, public GitHub Repository Link containing:</w:t>
      </w:r>
    </w:p>
    <w:p w14:paraId="4CAEFB23" w14:textId="77777777" w:rsidR="005F4BD7" w:rsidRDefault="005F4BD7" w:rsidP="005F4BD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Your configuration files (Dockerfile</w:t>
      </w:r>
      <w:proofErr w:type="gramStart"/>
      <w:r>
        <w:rPr>
          <w:rFonts w:ascii="Lato" w:hAnsi="Lato"/>
          <w:color w:val="273540"/>
        </w:rPr>
        <w:t>, .yaml</w:t>
      </w:r>
      <w:proofErr w:type="gramEnd"/>
      <w:r>
        <w:rPr>
          <w:rFonts w:ascii="Lato" w:hAnsi="Lato"/>
          <w:color w:val="273540"/>
        </w:rPr>
        <w:t xml:space="preserve"> manifests, or scripts).</w:t>
      </w:r>
    </w:p>
    <w:p w14:paraId="6FE5399D" w14:textId="77777777" w:rsidR="005F4BD7" w:rsidRDefault="005F4BD7" w:rsidP="005F4BD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Complete profiling notebooks.</w:t>
      </w:r>
    </w:p>
    <w:p w14:paraId="47E03C50" w14:textId="77777777" w:rsidR="005F4BD7" w:rsidRDefault="005F4BD7" w:rsidP="005F4BD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An executive technical report (README.md).</w:t>
      </w:r>
    </w:p>
    <w:p w14:paraId="0076A1B5" w14:textId="77777777" w:rsidR="005F4BD7" w:rsidRDefault="005F4BD7" w:rsidP="005F4BD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A copy of your final presentation slides (PDF/PPT/Google Slides format,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Style w:val="ae"/>
          <w:rFonts w:ascii="Lato" w:hAnsi="Lato"/>
          <w:color w:val="273540"/>
        </w:rPr>
        <w:t>strictly max 5 slides</w:t>
      </w:r>
      <w:r>
        <w:rPr>
          <w:rFonts w:ascii="Lato" w:hAnsi="Lato"/>
          <w:color w:val="273540"/>
        </w:rPr>
        <w:t>).</w:t>
      </w:r>
    </w:p>
    <w:p w14:paraId="62264BA8" w14:textId="77777777" w:rsidR="005F4BD7" w:rsidRDefault="005F4BD7" w:rsidP="005F4BD7">
      <w:pPr>
        <w:pStyle w:val="a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ae"/>
          <w:rFonts w:ascii="Lato" w:hAnsi="Lato"/>
          <w:color w:val="273540"/>
        </w:rPr>
        <w:t>Dataset:  </w:t>
      </w:r>
      <w:hyperlink r:id="rId5" w:tgtFrame="_blank" w:tooltip="Churn_Dataset.csv" w:history="1">
        <w:r>
          <w:rPr>
            <w:rStyle w:val="af0"/>
            <w:rFonts w:ascii="Lato" w:hAnsi="Lato"/>
            <w:b/>
            <w:bCs/>
          </w:rPr>
          <w:t>Churn_Dataset.csv</w:t>
        </w:r>
      </w:hyperlink>
    </w:p>
    <w:p w14:paraId="723160FE" w14:textId="77777777" w:rsidR="005F4BD7" w:rsidRDefault="005F4BD7" w:rsidP="005F4BD7">
      <w:pPr>
        <w:pStyle w:val="2"/>
        <w:spacing w:before="90" w:after="90"/>
        <w:rPr>
          <w:rFonts w:ascii="Lato" w:hAnsi="Lato"/>
          <w:color w:val="273540"/>
          <w:sz w:val="43"/>
          <w:szCs w:val="43"/>
        </w:rPr>
      </w:pPr>
      <w:r>
        <w:rPr>
          <w:rStyle w:val="ae"/>
          <w:rFonts w:ascii="Lato" w:hAnsi="Lato"/>
          <w:b w:val="0"/>
          <w:bCs w:val="0"/>
          <w:color w:val="273540"/>
          <w:sz w:val="43"/>
          <w:szCs w:val="43"/>
        </w:rPr>
        <w:t>Course Capstone Vision</w:t>
      </w:r>
    </w:p>
    <w:p w14:paraId="6B62EA54" w14:textId="77777777" w:rsidR="005F4BD7" w:rsidRDefault="005F4BD7" w:rsidP="005F4BD7">
      <w:pPr>
        <w:pStyle w:val="a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The final project in ME344 is an engineering capstone designed to test your ability to orchestrate, profile, and scale computational workloads across modern high-performance infrastructures. Moving beyond isolated sandbox exercises, you will act as a Systems/Platform Engineer responsible for provisioning resources, mitigating data bottlenecks, and deploying high-throughput execution layers.</w:t>
      </w:r>
    </w:p>
    <w:p w14:paraId="4CC494AC" w14:textId="77777777" w:rsidR="005F4BD7" w:rsidRDefault="005F4BD7" w:rsidP="005F4BD7">
      <w:pPr>
        <w:pStyle w:val="a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To support a wide variety of technical backgrounds and research interests, you have full flexibility to choose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Style w:val="ae"/>
          <w:rFonts w:ascii="Lato" w:hAnsi="Lato"/>
          <w:color w:val="273540"/>
        </w:rPr>
        <w:t>one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of the two distinct structural pathways detailed below. Both tracks carry equal grading weight and rigor.</w:t>
      </w:r>
    </w:p>
    <w:p w14:paraId="2C886393" w14:textId="77777777" w:rsidR="005F4BD7" w:rsidRDefault="005F4BD7" w:rsidP="005F4BD7">
      <w:pPr>
        <w:pStyle w:val="2"/>
        <w:spacing w:before="90" w:after="90"/>
        <w:rPr>
          <w:rFonts w:ascii="Lato" w:hAnsi="Lato"/>
          <w:color w:val="273540"/>
          <w:sz w:val="43"/>
          <w:szCs w:val="43"/>
        </w:rPr>
      </w:pPr>
      <w:r>
        <w:rPr>
          <w:rStyle w:val="ae"/>
          <w:rFonts w:ascii="Lato" w:hAnsi="Lato"/>
          <w:b w:val="0"/>
          <w:bCs w:val="0"/>
          <w:color w:val="273540"/>
          <w:sz w:val="43"/>
          <w:szCs w:val="43"/>
        </w:rPr>
        <w:t>The Dual-Path Project Architecture</w:t>
      </w:r>
    </w:p>
    <w:p w14:paraId="0760D71F" w14:textId="77777777" w:rsidR="005F4BD7" w:rsidRDefault="005F4BD7" w:rsidP="005F4BD7">
      <w:pPr>
        <w:pStyle w:val="3"/>
        <w:spacing w:before="90" w:after="90"/>
        <w:rPr>
          <w:rFonts w:ascii="Lato" w:hAnsi="Lato"/>
          <w:b/>
          <w:bCs/>
          <w:color w:val="273540"/>
          <w:sz w:val="36"/>
          <w:szCs w:val="36"/>
        </w:rPr>
      </w:pPr>
      <w:r>
        <w:rPr>
          <w:rStyle w:val="ae"/>
          <w:rFonts w:ascii="Lato" w:hAnsi="Lato"/>
          <w:b w:val="0"/>
          <w:bCs w:val="0"/>
          <w:color w:val="273540"/>
          <w:sz w:val="36"/>
          <w:szCs w:val="36"/>
        </w:rPr>
        <w:t>Option 1: The Ready-to-Run Workflow (Deep Learning Churn Pipeline)</w:t>
      </w:r>
    </w:p>
    <w:p w14:paraId="29297623" w14:textId="77777777" w:rsidR="005F4BD7" w:rsidRDefault="005F4BD7" w:rsidP="005F4BD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  <w:sz w:val="24"/>
        </w:rPr>
      </w:pPr>
      <w:r>
        <w:rPr>
          <w:rStyle w:val="ae"/>
          <w:rFonts w:ascii="Lato" w:hAnsi="Lato"/>
          <w:color w:val="273540"/>
        </w:rPr>
        <w:t>Target Audience: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Ideal for students specializing in cloud-native containerization, auto-scaling mechanics, framework compilation, and cluster scheduling optimization using a familiar data context.</w:t>
      </w:r>
    </w:p>
    <w:p w14:paraId="36A5E732" w14:textId="77777777" w:rsidR="005F4BD7" w:rsidRDefault="005F4BD7" w:rsidP="005F4BD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Style w:val="ae"/>
          <w:rFonts w:ascii="Lato" w:hAnsi="Lato"/>
          <w:color w:val="273540"/>
        </w:rPr>
        <w:t>The Blueprint: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Rather than writing a massive model from scratch, you will scale up your previous churn analysis pipeline. You will implement a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Style w:val="ae"/>
          <w:rFonts w:ascii="Lato" w:hAnsi="Lato"/>
          <w:color w:val="273540"/>
        </w:rPr>
        <w:t>Deep Neural Network (DNN) Classifier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(a Multi-Layer Perceptron) in JAX/Flax or PyTorch to train on the</w:t>
      </w:r>
      <w:r>
        <w:rPr>
          <w:rStyle w:val="apple-converted-space"/>
          <w:rFonts w:ascii="Lato" w:hAnsi="Lato"/>
          <w:color w:val="273540"/>
        </w:rPr>
        <w:t> </w:t>
      </w:r>
      <w:hyperlink r:id="rId6" w:tgtFrame="_blank" w:tooltip="Churn_Dataset.csv" w:history="1">
        <w:r>
          <w:rPr>
            <w:rStyle w:val="af0"/>
            <w:rFonts w:ascii="Lato" w:hAnsi="Lato"/>
            <w:b/>
            <w:bCs/>
          </w:rPr>
          <w:t>Churn_Dataset.csv</w:t>
        </w:r>
      </w:hyperlink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dataset.</w:t>
      </w:r>
    </w:p>
    <w:p w14:paraId="15A331C6" w14:textId="77777777" w:rsidR="005F4BD7" w:rsidRDefault="005F4BD7" w:rsidP="005F4BD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Style w:val="ae"/>
          <w:rFonts w:ascii="Lato" w:hAnsi="Lato"/>
          <w:color w:val="273540"/>
        </w:rPr>
        <w:lastRenderedPageBreak/>
        <w:t>Your Core Mission: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Your success is evaluated on your ability to package this deep learning training pipeline into an immutable Docker container, provision your targeted compute resources, map storage volumes to read</w:t>
      </w:r>
      <w:r>
        <w:rPr>
          <w:rStyle w:val="apple-converted-space"/>
          <w:rFonts w:ascii="Lato" w:hAnsi="Lato"/>
          <w:color w:val="273540"/>
        </w:rPr>
        <w:t> </w:t>
      </w:r>
      <w:hyperlink r:id="rId7" w:tgtFrame="_blank" w:tooltip="Churn_Dataset.csv" w:history="1">
        <w:r>
          <w:rPr>
            <w:rStyle w:val="af0"/>
            <w:rFonts w:ascii="Lato" w:hAnsi="Lato"/>
            <w:b/>
            <w:bCs/>
          </w:rPr>
          <w:t>Churn_Dataset.csv</w:t>
        </w:r>
      </w:hyperlink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without input starvation, and scale training execution flawlessly across multi-node configurations (CPUs, GPUs, and TPU pools).</w:t>
      </w:r>
    </w:p>
    <w:p w14:paraId="30B92CC8" w14:textId="77777777" w:rsidR="005F4BD7" w:rsidRDefault="005F4BD7" w:rsidP="005F4BD7">
      <w:pPr>
        <w:pStyle w:val="3"/>
        <w:spacing w:before="90" w:after="90"/>
        <w:rPr>
          <w:rFonts w:ascii="Lato" w:hAnsi="Lato"/>
          <w:color w:val="273540"/>
          <w:sz w:val="36"/>
          <w:szCs w:val="36"/>
        </w:rPr>
      </w:pPr>
      <w:r>
        <w:rPr>
          <w:rStyle w:val="ae"/>
          <w:rFonts w:ascii="Lato" w:hAnsi="Lato"/>
          <w:b w:val="0"/>
          <w:bCs w:val="0"/>
          <w:color w:val="273540"/>
          <w:sz w:val="36"/>
          <w:szCs w:val="36"/>
        </w:rPr>
        <w:t>Option 2: The Custom Domain Workflow (Bring Your Own Workload)</w:t>
      </w:r>
    </w:p>
    <w:p w14:paraId="4AF7C2CE" w14:textId="77777777" w:rsidR="005F4BD7" w:rsidRDefault="005F4BD7" w:rsidP="005F4BD7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  <w:sz w:val="24"/>
        </w:rPr>
      </w:pPr>
      <w:r>
        <w:rPr>
          <w:rStyle w:val="ae"/>
          <w:rFonts w:ascii="Lato" w:hAnsi="Lato"/>
          <w:color w:val="273540"/>
        </w:rPr>
        <w:t>Target Audience: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Tailored for researchers, startup teams, or advanced systems engineers who want to profile, accelerate, or stress-test an independent computational model.</w:t>
      </w:r>
    </w:p>
    <w:p w14:paraId="1DF943FC" w14:textId="77777777" w:rsidR="005F4BD7" w:rsidRDefault="005F4BD7" w:rsidP="005F4BD7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Style w:val="ae"/>
          <w:rFonts w:ascii="Lato" w:hAnsi="Lato"/>
          <w:color w:val="273540"/>
        </w:rPr>
        <w:t>The Blueprint: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You bring your own custom domain-specific workload. This could include a mechanical engineering thermal/structural simulation, an advanced computer vision or NLP pipeline, a custom molecular dynamics loop, or a scientific machine learning inverse model.</w:t>
      </w:r>
    </w:p>
    <w:p w14:paraId="7EB1EAA4" w14:textId="77777777" w:rsidR="005F4BD7" w:rsidRDefault="005F4BD7" w:rsidP="005F4BD7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Style w:val="ae"/>
          <w:rFonts w:ascii="Lato" w:hAnsi="Lato"/>
          <w:color w:val="273540"/>
        </w:rPr>
        <w:t>Your Core Mission: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You are responsible for the end-to-end integration. You can choose to adapt your code to run directly across our pre-configured Stanford HPCC bare-metal pools, or build an autonomous virtual cloud server network from the ground up to profile its resource constraints, memory bandwidth drops, and scale bounds.</w:t>
      </w:r>
    </w:p>
    <w:p w14:paraId="0A839C74" w14:textId="77777777" w:rsidR="005F4BD7" w:rsidRDefault="005F4BD7" w:rsidP="005F4BD7">
      <w:pPr>
        <w:pStyle w:val="2"/>
        <w:spacing w:before="90" w:after="90"/>
        <w:rPr>
          <w:rFonts w:ascii="Lato" w:hAnsi="Lato"/>
          <w:color w:val="273540"/>
          <w:sz w:val="43"/>
          <w:szCs w:val="43"/>
        </w:rPr>
      </w:pPr>
      <w:r>
        <w:rPr>
          <w:rStyle w:val="ae"/>
          <w:rFonts w:ascii="Lato" w:hAnsi="Lato"/>
          <w:b w:val="0"/>
          <w:bCs w:val="0"/>
          <w:color w:val="273540"/>
          <w:sz w:val="43"/>
          <w:szCs w:val="43"/>
        </w:rPr>
        <w:t>Core Technical Deliverables &amp; Milestones</w:t>
      </w:r>
    </w:p>
    <w:p w14:paraId="7615BFD1" w14:textId="77777777" w:rsidR="005F4BD7" w:rsidRDefault="005F4BD7" w:rsidP="005F4BD7">
      <w:pPr>
        <w:pStyle w:val="a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Regardless of which option you select, your repository must structurally address the following core phases:</w:t>
      </w:r>
    </w:p>
    <w:p w14:paraId="3B6C9F2D" w14:textId="77777777" w:rsidR="005F4BD7" w:rsidRDefault="005F4BD7" w:rsidP="005F4BD7">
      <w:pPr>
        <w:pStyle w:val="3"/>
        <w:spacing w:before="90" w:after="90"/>
        <w:rPr>
          <w:rFonts w:ascii="Lato" w:hAnsi="Lato"/>
          <w:color w:val="273540"/>
          <w:sz w:val="36"/>
          <w:szCs w:val="36"/>
        </w:rPr>
      </w:pPr>
      <w:r>
        <w:rPr>
          <w:rStyle w:val="ae"/>
          <w:rFonts w:ascii="Lato" w:hAnsi="Lato"/>
          <w:b w:val="0"/>
          <w:bCs w:val="0"/>
          <w:color w:val="273540"/>
          <w:sz w:val="36"/>
          <w:szCs w:val="36"/>
        </w:rPr>
        <w:t>Phase 1: Environment &amp; Containerization </w:t>
      </w:r>
    </w:p>
    <w:p w14:paraId="51234A8D" w14:textId="77777777" w:rsidR="005F4BD7" w:rsidRDefault="005F4BD7" w:rsidP="005F4BD7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  <w:sz w:val="24"/>
        </w:rPr>
      </w:pPr>
      <w:r>
        <w:rPr>
          <w:rStyle w:val="ae"/>
          <w:rFonts w:ascii="Lato" w:hAnsi="Lato"/>
          <w:color w:val="273540"/>
        </w:rPr>
        <w:t>Immutable Environments: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Author a clean Dockerfile that packages all system dependencies, compiler configurations (CUDA/XLA/ROCm frameworks), and deep learning libraries. No libraries or dependencies should be installed manually on running nodes.</w:t>
      </w:r>
    </w:p>
    <w:p w14:paraId="51EFEED2" w14:textId="77777777" w:rsidR="005F4BD7" w:rsidRDefault="005F4BD7" w:rsidP="005F4BD7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Style w:val="ae"/>
          <w:rFonts w:ascii="Lato" w:hAnsi="Lato"/>
          <w:color w:val="273540"/>
        </w:rPr>
        <w:t>Orchestration Manifests: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Build reusable deployment manifests (Kubernetes YAML configs or SLURM batch job files) specifying exact hardware constraints (e.g., limits and requests for CPU cores, system memory boundaries, and physical accelerator counts).</w:t>
      </w:r>
    </w:p>
    <w:p w14:paraId="7CA9C1D5" w14:textId="77777777" w:rsidR="005F4BD7" w:rsidRDefault="005F4BD7" w:rsidP="005F4BD7">
      <w:pPr>
        <w:pStyle w:val="a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Package all system dependencies, compiler configurations (CUDA/XLA/ROCm frameworks), and deep learning libraries into a single immutable container. No libraries or dependencies should be installed manually on running nodes.</w:t>
      </w:r>
    </w:p>
    <w:p w14:paraId="177DF687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  <w:lastRenderedPageBreak/>
        <w:t># Use an official immutable base image with pre-configured deep learning and XLA/CUDA frameworks</w:t>
      </w:r>
    </w:p>
    <w:p w14:paraId="56674CF8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  <w:t>FROM pytorch/pytorch:2.2.0-cuda12.1-cudnn8-devel</w:t>
      </w:r>
    </w:p>
    <w:p w14:paraId="54009B36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</w:p>
    <w:p w14:paraId="364F4DA5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  <w:t># Set non-interactive installation to prevent prompt hangs</w:t>
      </w:r>
    </w:p>
    <w:p w14:paraId="1B62836B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  <w:t>ENV DEBIAN_FRONTEND=non-interactive</w:t>
      </w:r>
    </w:p>
    <w:p w14:paraId="2D58567F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</w:p>
    <w:p w14:paraId="30FB0993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  <w:t># Set working directory inside the container</w:t>
      </w:r>
    </w:p>
    <w:p w14:paraId="29AB122A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  <w:t>WORKDIR /workspace</w:t>
      </w:r>
    </w:p>
    <w:p w14:paraId="22E48CDB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</w:p>
    <w:p w14:paraId="34FC7EDB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  <w:t># Install essential system utilities and build dependencies</w:t>
      </w:r>
    </w:p>
    <w:p w14:paraId="559B7478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  <w:t>RUN apt-get update &amp;&amp; apt-get install -y --no-install-recommends \</w:t>
      </w:r>
    </w:p>
    <w:p w14:paraId="47D0026D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  <w:t xml:space="preserve">    build-essential \</w:t>
      </w:r>
    </w:p>
    <w:p w14:paraId="11F9D97B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  <w:t xml:space="preserve">    git \</w:t>
      </w:r>
    </w:p>
    <w:p w14:paraId="3918FAE8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  <w:t xml:space="preserve">    curl \</w:t>
      </w:r>
    </w:p>
    <w:p w14:paraId="0E5E6B1A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  <w:t xml:space="preserve">    &amp;&amp; rm -rf /var/lib/apt/lists/*</w:t>
      </w:r>
    </w:p>
    <w:p w14:paraId="573F8F99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</w:p>
    <w:p w14:paraId="3C74C18A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  <w:t># Copy dependency specification files first to leverage Docker layer caching</w:t>
      </w:r>
    </w:p>
    <w:p w14:paraId="6631A69E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  <w:t>COPY requirements.txt /workspace/</w:t>
      </w:r>
    </w:p>
    <w:p w14:paraId="19D1F349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</w:p>
    <w:p w14:paraId="266F02F9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  <w:t># Install Python dependencies cleanly without manual post-deployment intervention</w:t>
      </w:r>
    </w:p>
    <w:p w14:paraId="0BD1E0EE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  <w:t>RUN pip install --no-cache-dir -r requirements.txt</w:t>
      </w:r>
    </w:p>
    <w:p w14:paraId="0DAEAF1B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</w:p>
    <w:p w14:paraId="01804B78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  <w:t># Copy source code and dataset into the immutable image layer</w:t>
      </w:r>
    </w:p>
    <w:p w14:paraId="31DBF7F6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  <w:proofErr w:type="gramStart"/>
      <w:r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  <w:t>COPY .</w:t>
      </w:r>
      <w:proofErr w:type="gramEnd"/>
      <w:r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  <w:t xml:space="preserve"> /workspace/</w:t>
      </w:r>
    </w:p>
    <w:p w14:paraId="5EC46924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</w:p>
    <w:p w14:paraId="30026814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  <w:t xml:space="preserve"># Hint: Never hardcode sensitive secrets or local paths in your Dockerfile. </w:t>
      </w:r>
    </w:p>
    <w:p w14:paraId="675F88E7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  <w:t># Use environment variables or runtime volume mounts for data inputs like Churn_Dataset.csv.</w:t>
      </w:r>
    </w:p>
    <w:p w14:paraId="5713E440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i/>
          <w:iCs/>
          <w:color w:val="273540"/>
          <w:bdr w:val="none" w:sz="0" w:space="0" w:color="auto" w:frame="1"/>
        </w:rPr>
        <w:t>CMD ["python", "train.py"]</w:t>
      </w:r>
    </w:p>
    <w:p w14:paraId="31285F64" w14:textId="77777777" w:rsidR="005F4BD7" w:rsidRDefault="005F4BD7" w:rsidP="005F4BD7">
      <w:pPr>
        <w:pStyle w:val="3"/>
        <w:spacing w:before="90" w:after="90"/>
        <w:rPr>
          <w:rFonts w:ascii="Lato" w:hAnsi="Lato"/>
          <w:color w:val="273540"/>
          <w:sz w:val="36"/>
          <w:szCs w:val="36"/>
        </w:rPr>
      </w:pPr>
      <w:r>
        <w:rPr>
          <w:rStyle w:val="ae"/>
          <w:rFonts w:ascii="Lato" w:hAnsi="Lato"/>
          <w:b w:val="0"/>
          <w:bCs w:val="0"/>
          <w:color w:val="273540"/>
          <w:sz w:val="36"/>
          <w:szCs w:val="36"/>
        </w:rPr>
        <w:lastRenderedPageBreak/>
        <w:t>Phase 2: Cluster Provisioning &amp; Storage Orchestration </w:t>
      </w:r>
    </w:p>
    <w:p w14:paraId="74E047A2" w14:textId="77777777" w:rsidR="005F4BD7" w:rsidRDefault="005F4BD7" w:rsidP="005F4BD7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  <w:sz w:val="24"/>
        </w:rPr>
      </w:pPr>
      <w:r>
        <w:rPr>
          <w:rStyle w:val="ae"/>
          <w:rFonts w:ascii="Lato" w:hAnsi="Lato"/>
          <w:color w:val="273540"/>
        </w:rPr>
        <w:t>Infrastructure Mapping: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Provision your targeted node layout, ensuring appropriate cloud VPC networking policies, cluster subnets, or high-speed inter-node communication pipes are mapped securely.</w:t>
      </w:r>
    </w:p>
    <w:p w14:paraId="5B28F68E" w14:textId="77777777" w:rsidR="005F4BD7" w:rsidRDefault="005F4BD7" w:rsidP="005F4BD7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Style w:val="ae"/>
          <w:rFonts w:ascii="Lato" w:hAnsi="Lato"/>
          <w:color w:val="273540"/>
        </w:rPr>
        <w:t>Data Ingestion Tier: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Configure your storage endpoints to avoid input pipelines stalling. For Option 1, you must explicitly mount high-performance local NVMe scratch spaces, shared network file setups (NFS), or cloud buckets to funnel Churn_Dataset.csv to the compute chips without saturating the IO bus.</w:t>
      </w:r>
    </w:p>
    <w:p w14:paraId="4D878438" w14:textId="77777777" w:rsidR="005F4BD7" w:rsidRDefault="005F4BD7" w:rsidP="005F4BD7">
      <w:pPr>
        <w:pStyle w:val="3"/>
        <w:spacing w:before="90" w:after="90"/>
        <w:rPr>
          <w:rFonts w:ascii="Lato" w:hAnsi="Lato"/>
          <w:color w:val="273540"/>
          <w:sz w:val="36"/>
          <w:szCs w:val="36"/>
        </w:rPr>
      </w:pPr>
      <w:r>
        <w:rPr>
          <w:rStyle w:val="ae"/>
          <w:rFonts w:ascii="Lato" w:hAnsi="Lato"/>
          <w:b w:val="0"/>
          <w:bCs w:val="0"/>
          <w:color w:val="273540"/>
          <w:sz w:val="36"/>
          <w:szCs w:val="36"/>
        </w:rPr>
        <w:t>Phase 3: Telemetry &amp; Multi-Hardware Benchmarking </w:t>
      </w:r>
    </w:p>
    <w:p w14:paraId="62E841FE" w14:textId="77777777" w:rsidR="005F4BD7" w:rsidRDefault="005F4BD7" w:rsidP="005F4BD7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  <w:sz w:val="24"/>
        </w:rPr>
      </w:pPr>
      <w:r>
        <w:rPr>
          <w:rStyle w:val="ae"/>
          <w:rFonts w:ascii="Lato" w:hAnsi="Lato"/>
          <w:color w:val="273540"/>
        </w:rPr>
        <w:t>The Scaling Matrix: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You must profile your deep learning workload at three discrete scale steps (e.g., Single-Node CPU vs. Single Accelerator GPU vs. Distributed Multi-Node/TPU scaling).</w:t>
      </w:r>
    </w:p>
    <w:p w14:paraId="03388B76" w14:textId="77777777" w:rsidR="005F4BD7" w:rsidRDefault="005F4BD7" w:rsidP="005F4BD7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Style w:val="ae"/>
          <w:rFonts w:ascii="Lato" w:hAnsi="Lato"/>
          <w:color w:val="273540"/>
        </w:rPr>
        <w:t>Metrics Ingestion: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Capture real-world hardware telemetry using automated tooling (nvidia-smi, gcloud compute tpus top, Prometheus/Grafana logs, or internal JAX/XLA profiling tools). Track and graph chip utilization percentages, peak high-bandwidth memory (HBM/VRAM) saturation points, and step times.</w:t>
      </w:r>
    </w:p>
    <w:p w14:paraId="2B4AEDB5" w14:textId="77777777" w:rsidR="005F4BD7" w:rsidRDefault="005F4BD7" w:rsidP="005F4BD7">
      <w:pPr>
        <w:pStyle w:val="3"/>
        <w:spacing w:before="90" w:after="90"/>
        <w:rPr>
          <w:rFonts w:ascii="Lato" w:hAnsi="Lato"/>
          <w:color w:val="273540"/>
          <w:sz w:val="36"/>
          <w:szCs w:val="36"/>
        </w:rPr>
      </w:pPr>
      <w:r>
        <w:rPr>
          <w:rFonts w:ascii="Lato" w:hAnsi="Lato"/>
          <w:b/>
          <w:bCs/>
          <w:color w:val="273540"/>
          <w:sz w:val="36"/>
          <w:szCs w:val="36"/>
        </w:rPr>
        <w:t>Data Ingestion &amp; Preprocessing</w:t>
      </w:r>
    </w:p>
    <w:p w14:paraId="748E094D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color w:val="273540"/>
          <w:bdr w:val="none" w:sz="0" w:space="0" w:color="auto" w:frame="1"/>
        </w:rPr>
        <w:t>import os</w:t>
      </w:r>
    </w:p>
    <w:p w14:paraId="0807C9EF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color w:val="273540"/>
          <w:bdr w:val="none" w:sz="0" w:space="0" w:color="auto" w:frame="1"/>
        </w:rPr>
        <w:t>import time</w:t>
      </w:r>
    </w:p>
    <w:p w14:paraId="2DDA8C26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color w:val="273540"/>
          <w:bdr w:val="none" w:sz="0" w:space="0" w:color="auto" w:frame="1"/>
        </w:rPr>
        <w:t>import pandas as pd</w:t>
      </w:r>
    </w:p>
    <w:p w14:paraId="343F5BBB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color w:val="273540"/>
          <w:bdr w:val="none" w:sz="0" w:space="0" w:color="auto" w:frame="1"/>
        </w:rPr>
        <w:t>import numpy as np</w:t>
      </w:r>
    </w:p>
    <w:p w14:paraId="7DAEEB2C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color w:val="273540"/>
          <w:bdr w:val="none" w:sz="0" w:space="0" w:color="auto" w:frame="1"/>
        </w:rPr>
        <w:t>import torch</w:t>
      </w:r>
    </w:p>
    <w:p w14:paraId="3A80F9CF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color w:val="273540"/>
          <w:bdr w:val="none" w:sz="0" w:space="0" w:color="auto" w:frame="1"/>
        </w:rPr>
        <w:lastRenderedPageBreak/>
        <w:t xml:space="preserve">import </w:t>
      </w:r>
      <w:proofErr w:type="gramStart"/>
      <w:r>
        <w:rPr>
          <w:rStyle w:val="HTML1"/>
          <w:rFonts w:ascii="Monaco" w:hAnsi="Monaco"/>
          <w:color w:val="273540"/>
          <w:bdr w:val="none" w:sz="0" w:space="0" w:color="auto" w:frame="1"/>
        </w:rPr>
        <w:t>torch.nn</w:t>
      </w:r>
      <w:proofErr w:type="gramEnd"/>
      <w:r>
        <w:rPr>
          <w:rStyle w:val="HTML1"/>
          <w:rFonts w:ascii="Monaco" w:hAnsi="Monaco"/>
          <w:color w:val="273540"/>
          <w:bdr w:val="none" w:sz="0" w:space="0" w:color="auto" w:frame="1"/>
        </w:rPr>
        <w:t xml:space="preserve"> as nn</w:t>
      </w:r>
    </w:p>
    <w:p w14:paraId="00FC5996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color w:val="273540"/>
          <w:bdr w:val="none" w:sz="0" w:space="0" w:color="auto" w:frame="1"/>
        </w:rPr>
        <w:t xml:space="preserve">import </w:t>
      </w:r>
      <w:proofErr w:type="gramStart"/>
      <w:r>
        <w:rPr>
          <w:rStyle w:val="HTML1"/>
          <w:rFonts w:ascii="Monaco" w:hAnsi="Monaco"/>
          <w:color w:val="273540"/>
          <w:bdr w:val="none" w:sz="0" w:space="0" w:color="auto" w:frame="1"/>
        </w:rPr>
        <w:t>torch.optim</w:t>
      </w:r>
      <w:proofErr w:type="gramEnd"/>
      <w:r>
        <w:rPr>
          <w:rStyle w:val="HTML1"/>
          <w:rFonts w:ascii="Monaco" w:hAnsi="Monaco"/>
          <w:color w:val="273540"/>
          <w:bdr w:val="none" w:sz="0" w:space="0" w:color="auto" w:frame="1"/>
        </w:rPr>
        <w:t xml:space="preserve"> as optim</w:t>
      </w:r>
    </w:p>
    <w:p w14:paraId="6C058BBB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color w:val="273540"/>
          <w:bdr w:val="none" w:sz="0" w:space="0" w:color="auto" w:frame="1"/>
        </w:rPr>
        <w:t xml:space="preserve">from </w:t>
      </w:r>
      <w:proofErr w:type="gramStart"/>
      <w:r>
        <w:rPr>
          <w:rStyle w:val="HTML1"/>
          <w:rFonts w:ascii="Monaco" w:hAnsi="Monaco"/>
          <w:color w:val="273540"/>
          <w:bdr w:val="none" w:sz="0" w:space="0" w:color="auto" w:frame="1"/>
        </w:rPr>
        <w:t>torch.utils</w:t>
      </w:r>
      <w:proofErr w:type="gramEnd"/>
      <w:r>
        <w:rPr>
          <w:rStyle w:val="HTML1"/>
          <w:rFonts w:ascii="Monaco" w:hAnsi="Monaco"/>
          <w:color w:val="273540"/>
          <w:bdr w:val="none" w:sz="0" w:space="0" w:color="auto" w:frame="1"/>
        </w:rPr>
        <w:t>.data import DataLoader, TensorDataset</w:t>
      </w:r>
    </w:p>
    <w:p w14:paraId="2BCE86A3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color w:val="273540"/>
          <w:bdr w:val="none" w:sz="0" w:space="0" w:color="auto" w:frame="1"/>
        </w:rPr>
      </w:pPr>
    </w:p>
    <w:p w14:paraId="2D0FEA44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color w:val="273540"/>
          <w:bdr w:val="none" w:sz="0" w:space="0" w:color="auto" w:frame="1"/>
        </w:rPr>
        <w:t># 1. Load Dataset</w:t>
      </w:r>
    </w:p>
    <w:p w14:paraId="569AFE61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color w:val="273540"/>
          <w:bdr w:val="none" w:sz="0" w:space="0" w:color="auto" w:frame="1"/>
        </w:rPr>
        <w:t># 2. Handle Missing Values</w:t>
      </w:r>
    </w:p>
    <w:p w14:paraId="131DBA9D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240"/>
        <w:rPr>
          <w:rFonts w:ascii="Monaco" w:hAnsi="Monaco"/>
          <w:color w:val="273540"/>
        </w:rPr>
      </w:pPr>
      <w:r>
        <w:rPr>
          <w:rStyle w:val="HTML1"/>
          <w:rFonts w:ascii="Monaco" w:hAnsi="Monaco"/>
          <w:color w:val="273540"/>
          <w:bdr w:val="none" w:sz="0" w:space="0" w:color="auto" w:frame="1"/>
        </w:rPr>
        <w:t># 3. Separate Features &amp; Target</w:t>
      </w:r>
    </w:p>
    <w:p w14:paraId="768CD7AC" w14:textId="77777777" w:rsidR="005F4BD7" w:rsidRDefault="005F4BD7" w:rsidP="005F4BD7">
      <w:pPr>
        <w:pStyle w:val="3"/>
        <w:spacing w:before="90" w:after="90"/>
        <w:rPr>
          <w:rFonts w:ascii="Lato" w:hAnsi="Lato"/>
          <w:color w:val="273540"/>
          <w:sz w:val="36"/>
          <w:szCs w:val="36"/>
        </w:rPr>
      </w:pPr>
      <w:r>
        <w:rPr>
          <w:rFonts w:ascii="Lato" w:hAnsi="Lato"/>
          <w:b/>
          <w:bCs/>
          <w:color w:val="273540"/>
          <w:sz w:val="36"/>
          <w:szCs w:val="36"/>
        </w:rPr>
        <w:t>Model Architecture &amp; DataLoader</w:t>
      </w:r>
    </w:p>
    <w:p w14:paraId="143ADBFF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color w:val="273540"/>
          <w:bdr w:val="none" w:sz="0" w:space="0" w:color="auto" w:frame="1"/>
        </w:rPr>
        <w:t>class ChurnPredictionModel(</w:t>
      </w:r>
      <w:proofErr w:type="gramStart"/>
      <w:r>
        <w:rPr>
          <w:rStyle w:val="HTML1"/>
          <w:rFonts w:ascii="Monaco" w:hAnsi="Monaco"/>
          <w:color w:val="273540"/>
          <w:bdr w:val="none" w:sz="0" w:space="0" w:color="auto" w:frame="1"/>
        </w:rPr>
        <w:t>nn.Module</w:t>
      </w:r>
      <w:proofErr w:type="gramEnd"/>
      <w:r>
        <w:rPr>
          <w:rStyle w:val="HTML1"/>
          <w:rFonts w:ascii="Monaco" w:hAnsi="Monaco"/>
          <w:color w:val="273540"/>
          <w:bdr w:val="none" w:sz="0" w:space="0" w:color="auto" w:frame="1"/>
        </w:rPr>
        <w:t>):</w:t>
      </w:r>
    </w:p>
    <w:p w14:paraId="31167884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color w:val="273540"/>
          <w:bdr w:val="none" w:sz="0" w:space="0" w:color="auto" w:frame="1"/>
        </w:rPr>
        <w:t xml:space="preserve">    def __init_</w:t>
      </w:r>
      <w:proofErr w:type="gramStart"/>
      <w:r>
        <w:rPr>
          <w:rStyle w:val="HTML1"/>
          <w:rFonts w:ascii="Monaco" w:hAnsi="Monaco"/>
          <w:color w:val="273540"/>
          <w:bdr w:val="none" w:sz="0" w:space="0" w:color="auto" w:frame="1"/>
        </w:rPr>
        <w:t>_(</w:t>
      </w:r>
      <w:proofErr w:type="gramEnd"/>
      <w:r>
        <w:rPr>
          <w:rStyle w:val="HTML1"/>
          <w:rFonts w:ascii="Monaco" w:hAnsi="Monaco"/>
          <w:color w:val="273540"/>
          <w:bdr w:val="none" w:sz="0" w:space="0" w:color="auto" w:frame="1"/>
        </w:rPr>
        <w:t>self, input_dim):</w:t>
      </w:r>
    </w:p>
    <w:p w14:paraId="461A203E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color w:val="273540"/>
          <w:bdr w:val="none" w:sz="0" w:space="0" w:color="auto" w:frame="1"/>
        </w:rPr>
        <w:t xml:space="preserve">        </w:t>
      </w:r>
      <w:proofErr w:type="gramStart"/>
      <w:r>
        <w:rPr>
          <w:rStyle w:val="HTML1"/>
          <w:rFonts w:ascii="Monaco" w:hAnsi="Monaco"/>
          <w:color w:val="273540"/>
          <w:bdr w:val="none" w:sz="0" w:space="0" w:color="auto" w:frame="1"/>
        </w:rPr>
        <w:t>super(</w:t>
      </w:r>
      <w:proofErr w:type="gramEnd"/>
      <w:r>
        <w:rPr>
          <w:rStyle w:val="HTML1"/>
          <w:rFonts w:ascii="Monaco" w:hAnsi="Monaco"/>
          <w:color w:val="273540"/>
          <w:bdr w:val="none" w:sz="0" w:space="0" w:color="auto" w:frame="1"/>
        </w:rPr>
        <w:t>ChurnPredictionModel, self</w:t>
      </w:r>
      <w:proofErr w:type="gramStart"/>
      <w:r>
        <w:rPr>
          <w:rStyle w:val="HTML1"/>
          <w:rFonts w:ascii="Monaco" w:hAnsi="Monaco"/>
          <w:color w:val="273540"/>
          <w:bdr w:val="none" w:sz="0" w:space="0" w:color="auto" w:frame="1"/>
        </w:rPr>
        <w:t>)._</w:t>
      </w:r>
      <w:proofErr w:type="gramEnd"/>
      <w:r>
        <w:rPr>
          <w:rStyle w:val="HTML1"/>
          <w:rFonts w:ascii="Monaco" w:hAnsi="Monaco"/>
          <w:color w:val="273540"/>
          <w:bdr w:val="none" w:sz="0" w:space="0" w:color="auto" w:frame="1"/>
        </w:rPr>
        <w:t>_init_</w:t>
      </w:r>
      <w:proofErr w:type="gramStart"/>
      <w:r>
        <w:rPr>
          <w:rStyle w:val="HTML1"/>
          <w:rFonts w:ascii="Monaco" w:hAnsi="Monaco"/>
          <w:color w:val="273540"/>
          <w:bdr w:val="none" w:sz="0" w:space="0" w:color="auto" w:frame="1"/>
        </w:rPr>
        <w:t>_(</w:t>
      </w:r>
      <w:proofErr w:type="gramEnd"/>
      <w:r>
        <w:rPr>
          <w:rStyle w:val="HTML1"/>
          <w:rFonts w:ascii="Monaco" w:hAnsi="Monaco"/>
          <w:color w:val="273540"/>
          <w:bdr w:val="none" w:sz="0" w:space="0" w:color="auto" w:frame="1"/>
        </w:rPr>
        <w:t>)</w:t>
      </w:r>
    </w:p>
    <w:p w14:paraId="7353BE84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color w:val="273540"/>
          <w:bdr w:val="none" w:sz="0" w:space="0" w:color="auto" w:frame="1"/>
        </w:rPr>
        <w:t xml:space="preserve">        </w:t>
      </w:r>
      <w:proofErr w:type="gramStart"/>
      <w:r>
        <w:rPr>
          <w:rStyle w:val="HTML1"/>
          <w:rFonts w:ascii="Monaco" w:hAnsi="Monaco"/>
          <w:color w:val="273540"/>
          <w:bdr w:val="none" w:sz="0" w:space="0" w:color="auto" w:frame="1"/>
        </w:rPr>
        <w:t>self.network</w:t>
      </w:r>
      <w:proofErr w:type="gramEnd"/>
      <w:r>
        <w:rPr>
          <w:rStyle w:val="HTML1"/>
          <w:rFonts w:ascii="Monaco" w:hAnsi="Monaco"/>
          <w:color w:val="273540"/>
          <w:bdr w:val="none" w:sz="0" w:space="0" w:color="auto" w:frame="1"/>
        </w:rPr>
        <w:t xml:space="preserve"> = </w:t>
      </w:r>
      <w:proofErr w:type="gramStart"/>
      <w:r>
        <w:rPr>
          <w:rStyle w:val="HTML1"/>
          <w:rFonts w:ascii="Monaco" w:hAnsi="Monaco"/>
          <w:color w:val="273540"/>
          <w:bdr w:val="none" w:sz="0" w:space="0" w:color="auto" w:frame="1"/>
        </w:rPr>
        <w:t>nn.Sequential</w:t>
      </w:r>
      <w:proofErr w:type="gramEnd"/>
      <w:r>
        <w:rPr>
          <w:rStyle w:val="HTML1"/>
          <w:rFonts w:ascii="Monaco" w:hAnsi="Monaco"/>
          <w:color w:val="273540"/>
          <w:bdr w:val="none" w:sz="0" w:space="0" w:color="auto" w:frame="1"/>
        </w:rPr>
        <w:t>(</w:t>
      </w:r>
    </w:p>
    <w:p w14:paraId="6EC0BF8B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color w:val="273540"/>
          <w:bdr w:val="none" w:sz="0" w:space="0" w:color="auto" w:frame="1"/>
        </w:rPr>
        <w:t xml:space="preserve">            </w:t>
      </w:r>
      <w:proofErr w:type="gramStart"/>
      <w:r>
        <w:rPr>
          <w:rStyle w:val="HTML1"/>
          <w:rFonts w:ascii="Monaco" w:hAnsi="Monaco"/>
          <w:color w:val="273540"/>
          <w:bdr w:val="none" w:sz="0" w:space="0" w:color="auto" w:frame="1"/>
        </w:rPr>
        <w:t>nn.Linear</w:t>
      </w:r>
      <w:proofErr w:type="gramEnd"/>
      <w:r>
        <w:rPr>
          <w:rStyle w:val="HTML1"/>
          <w:rFonts w:ascii="Monaco" w:hAnsi="Monaco"/>
          <w:color w:val="273540"/>
          <w:bdr w:val="none" w:sz="0" w:space="0" w:color="auto" w:frame="1"/>
        </w:rPr>
        <w:t>(input_dim, 64),</w:t>
      </w:r>
    </w:p>
    <w:p w14:paraId="73811F6B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color w:val="273540"/>
          <w:bdr w:val="none" w:sz="0" w:space="0" w:color="auto" w:frame="1"/>
        </w:rPr>
        <w:t xml:space="preserve">            </w:t>
      </w:r>
      <w:proofErr w:type="gramStart"/>
      <w:r>
        <w:rPr>
          <w:rStyle w:val="HTML1"/>
          <w:rFonts w:ascii="Monaco" w:hAnsi="Monaco"/>
          <w:color w:val="273540"/>
          <w:bdr w:val="none" w:sz="0" w:space="0" w:color="auto" w:frame="1"/>
        </w:rPr>
        <w:t>nn.ReLU</w:t>
      </w:r>
      <w:proofErr w:type="gramEnd"/>
      <w:r>
        <w:rPr>
          <w:rStyle w:val="HTML1"/>
          <w:rFonts w:ascii="Monaco" w:hAnsi="Monaco"/>
          <w:color w:val="273540"/>
          <w:bdr w:val="none" w:sz="0" w:space="0" w:color="auto" w:frame="1"/>
        </w:rPr>
        <w:t>(),</w:t>
      </w:r>
    </w:p>
    <w:p w14:paraId="3B9F49AD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color w:val="273540"/>
          <w:bdr w:val="none" w:sz="0" w:space="0" w:color="auto" w:frame="1"/>
        </w:rPr>
        <w:t xml:space="preserve">            </w:t>
      </w:r>
      <w:proofErr w:type="gramStart"/>
      <w:r>
        <w:rPr>
          <w:rStyle w:val="HTML1"/>
          <w:rFonts w:ascii="Monaco" w:hAnsi="Monaco"/>
          <w:color w:val="273540"/>
          <w:bdr w:val="none" w:sz="0" w:space="0" w:color="auto" w:frame="1"/>
        </w:rPr>
        <w:t>nn.Linear</w:t>
      </w:r>
      <w:proofErr w:type="gramEnd"/>
      <w:r>
        <w:rPr>
          <w:rStyle w:val="HTML1"/>
          <w:rFonts w:ascii="Monaco" w:hAnsi="Monaco"/>
          <w:color w:val="273540"/>
          <w:bdr w:val="none" w:sz="0" w:space="0" w:color="auto" w:frame="1"/>
        </w:rPr>
        <w:t>(64, 32),</w:t>
      </w:r>
    </w:p>
    <w:p w14:paraId="68DA4AC9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color w:val="273540"/>
          <w:bdr w:val="none" w:sz="0" w:space="0" w:color="auto" w:frame="1"/>
        </w:rPr>
        <w:t xml:space="preserve">            </w:t>
      </w:r>
      <w:proofErr w:type="gramStart"/>
      <w:r>
        <w:rPr>
          <w:rStyle w:val="HTML1"/>
          <w:rFonts w:ascii="Monaco" w:hAnsi="Monaco"/>
          <w:color w:val="273540"/>
          <w:bdr w:val="none" w:sz="0" w:space="0" w:color="auto" w:frame="1"/>
        </w:rPr>
        <w:t>nn.ReLU</w:t>
      </w:r>
      <w:proofErr w:type="gramEnd"/>
      <w:r>
        <w:rPr>
          <w:rStyle w:val="HTML1"/>
          <w:rFonts w:ascii="Monaco" w:hAnsi="Monaco"/>
          <w:color w:val="273540"/>
          <w:bdr w:val="none" w:sz="0" w:space="0" w:color="auto" w:frame="1"/>
        </w:rPr>
        <w:t>(),</w:t>
      </w:r>
    </w:p>
    <w:p w14:paraId="1973F22A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color w:val="273540"/>
          <w:bdr w:val="none" w:sz="0" w:space="0" w:color="auto" w:frame="1"/>
        </w:rPr>
        <w:t xml:space="preserve">            </w:t>
      </w:r>
      <w:proofErr w:type="gramStart"/>
      <w:r>
        <w:rPr>
          <w:rStyle w:val="HTML1"/>
          <w:rFonts w:ascii="Monaco" w:hAnsi="Monaco"/>
          <w:color w:val="273540"/>
          <w:bdr w:val="none" w:sz="0" w:space="0" w:color="auto" w:frame="1"/>
        </w:rPr>
        <w:t>nn.Linear</w:t>
      </w:r>
      <w:proofErr w:type="gramEnd"/>
      <w:r>
        <w:rPr>
          <w:rStyle w:val="HTML1"/>
          <w:rFonts w:ascii="Monaco" w:hAnsi="Monaco"/>
          <w:color w:val="273540"/>
          <w:bdr w:val="none" w:sz="0" w:space="0" w:color="auto" w:frame="1"/>
        </w:rPr>
        <w:t>(32, 1),</w:t>
      </w:r>
    </w:p>
    <w:p w14:paraId="101DF360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color w:val="273540"/>
          <w:bdr w:val="none" w:sz="0" w:space="0" w:color="auto" w:frame="1"/>
        </w:rPr>
        <w:lastRenderedPageBreak/>
        <w:t xml:space="preserve">            </w:t>
      </w:r>
      <w:proofErr w:type="gramStart"/>
      <w:r>
        <w:rPr>
          <w:rStyle w:val="HTML1"/>
          <w:rFonts w:ascii="Monaco" w:hAnsi="Monaco"/>
          <w:color w:val="273540"/>
          <w:bdr w:val="none" w:sz="0" w:space="0" w:color="auto" w:frame="1"/>
        </w:rPr>
        <w:t>nn.Sigmoid</w:t>
      </w:r>
      <w:proofErr w:type="gramEnd"/>
      <w:r>
        <w:rPr>
          <w:rStyle w:val="HTML1"/>
          <w:rFonts w:ascii="Monaco" w:hAnsi="Monaco"/>
          <w:color w:val="273540"/>
          <w:bdr w:val="none" w:sz="0" w:space="0" w:color="auto" w:frame="1"/>
        </w:rPr>
        <w:t>()</w:t>
      </w:r>
    </w:p>
    <w:p w14:paraId="680E739A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color w:val="273540"/>
          <w:bdr w:val="none" w:sz="0" w:space="0" w:color="auto" w:frame="1"/>
        </w:rPr>
        <w:t xml:space="preserve">        )</w:t>
      </w:r>
    </w:p>
    <w:p w14:paraId="0D75D0F6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color w:val="273540"/>
          <w:bdr w:val="none" w:sz="0" w:space="0" w:color="auto" w:frame="1"/>
        </w:rPr>
        <w:t xml:space="preserve">    </w:t>
      </w:r>
    </w:p>
    <w:p w14:paraId="7BDE2410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color w:val="273540"/>
          <w:bdr w:val="none" w:sz="0" w:space="0" w:color="auto" w:frame="1"/>
        </w:rPr>
        <w:t xml:space="preserve">    def </w:t>
      </w:r>
      <w:proofErr w:type="gramStart"/>
      <w:r>
        <w:rPr>
          <w:rStyle w:val="HTML1"/>
          <w:rFonts w:ascii="Monaco" w:hAnsi="Monaco"/>
          <w:color w:val="273540"/>
          <w:bdr w:val="none" w:sz="0" w:space="0" w:color="auto" w:frame="1"/>
        </w:rPr>
        <w:t>forward(</w:t>
      </w:r>
      <w:proofErr w:type="gramEnd"/>
      <w:r>
        <w:rPr>
          <w:rStyle w:val="HTML1"/>
          <w:rFonts w:ascii="Monaco" w:hAnsi="Monaco"/>
          <w:color w:val="273540"/>
          <w:bdr w:val="none" w:sz="0" w:space="0" w:color="auto" w:frame="1"/>
        </w:rPr>
        <w:t>self, x):</w:t>
      </w:r>
    </w:p>
    <w:p w14:paraId="141A6A95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color w:val="273540"/>
          <w:bdr w:val="none" w:sz="0" w:space="0" w:color="auto" w:frame="1"/>
        </w:rPr>
      </w:pPr>
      <w:r>
        <w:rPr>
          <w:rStyle w:val="HTML1"/>
          <w:rFonts w:ascii="Monaco" w:hAnsi="Monaco"/>
          <w:color w:val="273540"/>
          <w:bdr w:val="none" w:sz="0" w:space="0" w:color="auto" w:frame="1"/>
        </w:rPr>
        <w:t xml:space="preserve">        return </w:t>
      </w:r>
      <w:proofErr w:type="gramStart"/>
      <w:r>
        <w:rPr>
          <w:rStyle w:val="HTML1"/>
          <w:rFonts w:ascii="Monaco" w:hAnsi="Monaco"/>
          <w:color w:val="273540"/>
          <w:bdr w:val="none" w:sz="0" w:space="0" w:color="auto" w:frame="1"/>
        </w:rPr>
        <w:t>self.network</w:t>
      </w:r>
      <w:proofErr w:type="gramEnd"/>
      <w:r>
        <w:rPr>
          <w:rStyle w:val="HTML1"/>
          <w:rFonts w:ascii="Monaco" w:hAnsi="Monaco"/>
          <w:color w:val="273540"/>
          <w:bdr w:val="none" w:sz="0" w:space="0" w:color="auto" w:frame="1"/>
        </w:rPr>
        <w:t>(x)</w:t>
      </w:r>
    </w:p>
    <w:p w14:paraId="547797D7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1"/>
          <w:rFonts w:ascii="Monaco" w:hAnsi="Monaco"/>
          <w:color w:val="273540"/>
          <w:bdr w:val="none" w:sz="0" w:space="0" w:color="auto" w:frame="1"/>
        </w:rPr>
      </w:pPr>
    </w:p>
    <w:p w14:paraId="0B08F869" w14:textId="77777777" w:rsidR="005F4BD7" w:rsidRDefault="005F4BD7" w:rsidP="005F4BD7">
      <w:pPr>
        <w:pStyle w:val="HTML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Fonts w:ascii="Monaco" w:hAnsi="Monaco"/>
          <w:color w:val="273540"/>
        </w:rPr>
      </w:pPr>
      <w:r>
        <w:rPr>
          <w:rStyle w:val="HTML1"/>
          <w:rFonts w:ascii="Monaco" w:hAnsi="Monaco"/>
          <w:color w:val="273540"/>
          <w:bdr w:val="none" w:sz="0" w:space="0" w:color="auto" w:frame="1"/>
        </w:rPr>
        <w:t xml:space="preserve">tensor_x = </w:t>
      </w:r>
      <w:proofErr w:type="gramStart"/>
      <w:r>
        <w:rPr>
          <w:rStyle w:val="HTML1"/>
          <w:rFonts w:ascii="Monaco" w:hAnsi="Monaco"/>
          <w:color w:val="273540"/>
          <w:bdr w:val="none" w:sz="0" w:space="0" w:color="auto" w:frame="1"/>
        </w:rPr>
        <w:t>torch.tensor</w:t>
      </w:r>
      <w:proofErr w:type="gramEnd"/>
      <w:r>
        <w:rPr>
          <w:rStyle w:val="HTML1"/>
          <w:rFonts w:ascii="Monaco" w:hAnsi="Monaco"/>
          <w:color w:val="273540"/>
          <w:bdr w:val="none" w:sz="0" w:space="0" w:color="auto" w:frame="1"/>
        </w:rPr>
        <w:t>(X_raw)</w:t>
      </w:r>
      <w:r>
        <w:rPr>
          <w:rFonts w:ascii="Monaco" w:hAnsi="Monaco"/>
          <w:color w:val="273540"/>
          <w:bdr w:val="none" w:sz="0" w:space="0" w:color="auto" w:frame="1"/>
        </w:rPr>
        <w:br/>
      </w:r>
      <w:r>
        <w:rPr>
          <w:rStyle w:val="HTML1"/>
          <w:rFonts w:ascii="Monaco" w:hAnsi="Monaco"/>
          <w:color w:val="273540"/>
          <w:bdr w:val="none" w:sz="0" w:space="0" w:color="auto" w:frame="1"/>
        </w:rPr>
        <w:t>....</w:t>
      </w:r>
    </w:p>
    <w:p w14:paraId="722E9DCC" w14:textId="77777777" w:rsidR="005F4BD7" w:rsidRDefault="005F4BD7" w:rsidP="005F4BD7">
      <w:pPr>
        <w:pStyle w:val="3"/>
        <w:spacing w:before="90" w:after="90"/>
        <w:rPr>
          <w:rFonts w:ascii="Lato" w:hAnsi="Lato"/>
          <w:color w:val="273540"/>
          <w:sz w:val="36"/>
          <w:szCs w:val="36"/>
        </w:rPr>
      </w:pPr>
      <w:r>
        <w:rPr>
          <w:rStyle w:val="ae"/>
          <w:rFonts w:ascii="Lato" w:hAnsi="Lato"/>
          <w:b w:val="0"/>
          <w:bCs w:val="0"/>
          <w:color w:val="273540"/>
          <w:sz w:val="36"/>
          <w:szCs w:val="36"/>
        </w:rPr>
        <w:t>Phase 4: Executive Technical Report &amp; Presentation</w:t>
      </w:r>
    </w:p>
    <w:p w14:paraId="01688A28" w14:textId="77777777" w:rsidR="005F4BD7" w:rsidRDefault="005F4BD7" w:rsidP="005F4BD7">
      <w:pPr>
        <w:pStyle w:val="4"/>
        <w:spacing w:before="90" w:after="90"/>
        <w:rPr>
          <w:rFonts w:ascii="Lato" w:hAnsi="Lato"/>
          <w:b/>
          <w:bCs/>
          <w:color w:val="273540"/>
          <w:sz w:val="27"/>
          <w:szCs w:val="27"/>
        </w:rPr>
      </w:pPr>
      <w:r>
        <w:rPr>
          <w:rStyle w:val="ae"/>
          <w:rFonts w:ascii="Lato" w:hAnsi="Lato"/>
          <w:b w:val="0"/>
          <w:bCs w:val="0"/>
          <w:color w:val="273540"/>
          <w:sz w:val="27"/>
          <w:szCs w:val="27"/>
        </w:rPr>
        <w:t> 1. Repo README Requirement</w:t>
      </w:r>
    </w:p>
    <w:p w14:paraId="2288DB5A" w14:textId="77777777" w:rsidR="005F4BD7" w:rsidRDefault="005F4BD7" w:rsidP="005F4BD7">
      <w:pPr>
        <w:pStyle w:val="a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Your repository must feature a professional README.md containing an executive summary of your architecture, organized under the following structured headings:</w:t>
      </w:r>
    </w:p>
    <w:p w14:paraId="7753D5B9" w14:textId="77777777" w:rsidR="005F4BD7" w:rsidRDefault="005F4BD7" w:rsidP="005F4BD7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Style w:val="ae"/>
          <w:rFonts w:ascii="Lato" w:hAnsi="Lato"/>
          <w:color w:val="273540"/>
        </w:rPr>
        <w:t>System Topology Diagram: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A text-based or visual breakdown of your cluster layout, storage paths, and compute worker instances.</w:t>
      </w:r>
    </w:p>
    <w:p w14:paraId="663B113B" w14:textId="77777777" w:rsidR="005F4BD7" w:rsidRDefault="005F4BD7" w:rsidP="005F4BD7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Style w:val="ae"/>
          <w:rFonts w:ascii="Lato" w:hAnsi="Lato"/>
          <w:color w:val="273540"/>
        </w:rPr>
        <w:t>Performance Delta Analysis: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Comparative data tables or graphs illustrating your profiling results (throughput, steps/sec, compilation overhead) across the different scale configurations.</w:t>
      </w:r>
    </w:p>
    <w:p w14:paraId="0310DFA0" w14:textId="77777777" w:rsidR="005F4BD7" w:rsidRDefault="005F4BD7" w:rsidP="005F4BD7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Style w:val="ae"/>
          <w:rFonts w:ascii="Lato" w:hAnsi="Lato"/>
          <w:color w:val="273540"/>
        </w:rPr>
        <w:t>The Infrastructure Bottleneck Diagnosis: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Explicitly identify the primary operational bottleneck holding your model back.</w:t>
      </w:r>
    </w:p>
    <w:p w14:paraId="395FB2C6" w14:textId="77777777" w:rsidR="005F4BD7" w:rsidRDefault="005F4BD7" w:rsidP="005F4BD7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Style w:val="ae"/>
          <w:rFonts w:ascii="Lato" w:hAnsi="Lato"/>
          <w:color w:val="273540"/>
        </w:rPr>
        <w:t>Engineering Mitigations: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Detail what specific architectural adjustments (e.g., XLA loop-fusion, switching data types to bfloat16, batch size adjustments, or changing caching policies) you used—or would recommend—to resolve the bottleneck.</w:t>
      </w:r>
    </w:p>
    <w:p w14:paraId="275A31DF" w14:textId="77777777" w:rsidR="005F4BD7" w:rsidRDefault="005F4BD7" w:rsidP="005F4BD7">
      <w:pPr>
        <w:pStyle w:val="4"/>
        <w:spacing w:before="90" w:after="90"/>
        <w:rPr>
          <w:rFonts w:ascii="Lato" w:hAnsi="Lato"/>
          <w:color w:val="273540"/>
          <w:sz w:val="27"/>
          <w:szCs w:val="27"/>
        </w:rPr>
      </w:pPr>
      <w:r>
        <w:rPr>
          <w:rStyle w:val="ae"/>
          <w:rFonts w:ascii="Lato" w:hAnsi="Lato"/>
          <w:b w:val="0"/>
          <w:bCs w:val="0"/>
          <w:color w:val="273540"/>
          <w:sz w:val="27"/>
          <w:szCs w:val="27"/>
        </w:rPr>
        <w:lastRenderedPageBreak/>
        <w:t>2. Slides Presentation Requirement (Max 5 Slides)</w:t>
      </w:r>
    </w:p>
    <w:p w14:paraId="4A37FD9F" w14:textId="77777777" w:rsidR="005F4BD7" w:rsidRDefault="005F4BD7" w:rsidP="005F4BD7">
      <w:pPr>
        <w:pStyle w:val="a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You must submit a Google Slides or PowerPoint presentation summarizing your project. It must be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Style w:val="ae"/>
          <w:rFonts w:ascii="Lato" w:hAnsi="Lato"/>
          <w:color w:val="273540"/>
        </w:rPr>
        <w:t>exactly or maximum 5 slides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mapped out as follows:</w:t>
      </w:r>
    </w:p>
    <w:p w14:paraId="61098CC9" w14:textId="77777777" w:rsidR="005F4BD7" w:rsidRDefault="005F4BD7" w:rsidP="005F4BD7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Style w:val="ae"/>
          <w:rFonts w:ascii="Lato" w:hAnsi="Lato"/>
          <w:color w:val="273540"/>
        </w:rPr>
        <w:t>Slide 1: Problem: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Detail the business or scientific problem, dataset size, and resource challenge you are trying to resolve.</w:t>
      </w:r>
    </w:p>
    <w:p w14:paraId="466AD48F" w14:textId="77777777" w:rsidR="005F4BD7" w:rsidRDefault="005F4BD7" w:rsidP="005F4BD7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Style w:val="ae"/>
          <w:rFonts w:ascii="Lato" w:hAnsi="Lato"/>
          <w:color w:val="273540"/>
        </w:rPr>
        <w:t>Slide 2: Proposal and Solutions: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Your architecture proposal, orchestration tools (e.g., Docker, GKE, Kubernetes), and compilation strategy (JAX/XLA, compiler optimizations).</w:t>
      </w:r>
    </w:p>
    <w:p w14:paraId="0B694E1D" w14:textId="77777777" w:rsidR="005F4BD7" w:rsidRDefault="005F4BD7" w:rsidP="005F4BD7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Style w:val="ae"/>
          <w:rFonts w:ascii="Lato" w:hAnsi="Lato"/>
          <w:color w:val="273540"/>
        </w:rPr>
        <w:t>Slide 3: Measurements: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How you set up your cluster telemetry, tracked compute cycles, memory saturation, and input pipeline/IO metrics.</w:t>
      </w:r>
    </w:p>
    <w:p w14:paraId="61E6720B" w14:textId="77777777" w:rsidR="005F4BD7" w:rsidRDefault="005F4BD7" w:rsidP="005F4BD7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Style w:val="ae"/>
          <w:rFonts w:ascii="Lato" w:hAnsi="Lato"/>
          <w:color w:val="273540"/>
        </w:rPr>
        <w:t>Slide 4: Results (Hardware Comparison):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A clear, visual comparison illustrating metrics across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Style w:val="ae"/>
          <w:rFonts w:ascii="Lato" w:hAnsi="Lato"/>
          <w:color w:val="273540"/>
        </w:rPr>
        <w:t>CPU, GPU, and TPU backends</w:t>
      </w:r>
      <w:r>
        <w:rPr>
          <w:rFonts w:ascii="Lato" w:hAnsi="Lato"/>
          <w:color w:val="273540"/>
        </w:rPr>
        <w:t>. You must use visual charts, bar graphs, or data tables highlighting the speedup factor and hardware utilization.</w:t>
      </w:r>
    </w:p>
    <w:p w14:paraId="60B20316" w14:textId="77777777" w:rsidR="005F4BD7" w:rsidRDefault="005F4BD7" w:rsidP="005F4BD7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Style w:val="ae"/>
          <w:rFonts w:ascii="Lato" w:hAnsi="Lato"/>
          <w:color w:val="273540"/>
        </w:rPr>
        <w:t>Slide 5: Conclusion: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Key lessons learned, the identifying bottleneck, operational cost trade-offs, and scaling recommendations.</w:t>
      </w:r>
    </w:p>
    <w:p w14:paraId="282D3CD5" w14:textId="77777777" w:rsidR="005F4BD7" w:rsidRDefault="005F4BD7" w:rsidP="005F4BD7">
      <w:pPr>
        <w:pStyle w:val="2"/>
        <w:spacing w:before="90" w:after="90"/>
        <w:rPr>
          <w:rFonts w:ascii="Lato" w:hAnsi="Lato"/>
          <w:color w:val="273540"/>
          <w:sz w:val="43"/>
          <w:szCs w:val="43"/>
        </w:rPr>
      </w:pPr>
      <w:r>
        <w:rPr>
          <w:rStyle w:val="ae"/>
          <w:rFonts w:ascii="Lato" w:hAnsi="Lato"/>
          <w:b w:val="0"/>
          <w:bCs w:val="0"/>
          <w:color w:val="273540"/>
          <w:sz w:val="43"/>
          <w:szCs w:val="43"/>
        </w:rPr>
        <w:t>Chronological Project Milestones</w:t>
      </w:r>
    </w:p>
    <w:p w14:paraId="6A83890C" w14:textId="77777777" w:rsidR="005F4BD7" w:rsidRDefault="005F4BD7" w:rsidP="005F4BD7">
      <w:pPr>
        <w:pStyle w:val="a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To keep your project moving smoothly throughout the remainder of the summer quarter, note these critical baseline check-ins:</w:t>
      </w:r>
    </w:p>
    <w:p w14:paraId="532D911C" w14:textId="77777777" w:rsidR="005F4BD7" w:rsidRDefault="005F4BD7" w:rsidP="005F4BD7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Style w:val="ae"/>
          <w:rFonts w:ascii="Lato" w:hAnsi="Lato"/>
          <w:color w:val="273540"/>
        </w:rPr>
        <w:t>Milestone 1: Pathway Declaration &amp; Abstract (Due July 24, 2026):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A 1-page Canvas submission explicitly declaring Option 1 or Option 2, outlining your chosen model workload, and naming your teammate (optional; maximum group size is 2).</w:t>
      </w:r>
    </w:p>
    <w:p w14:paraId="1624D3C3" w14:textId="77777777" w:rsidR="005F4BD7" w:rsidRDefault="005F4BD7" w:rsidP="005F4BD7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Style w:val="ae"/>
          <w:rFonts w:ascii="Lato" w:hAnsi="Lato"/>
          <w:color w:val="273540"/>
        </w:rPr>
        <w:t>Milestone 2: Containerization &amp; Initial Compute Check: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A status check verification showing a built Docker image and confirmation that your model can run a single training step/simulation on a local node without crashing.</w:t>
      </w:r>
    </w:p>
    <w:p w14:paraId="1DDCAB98" w14:textId="77777777" w:rsidR="005F4BD7" w:rsidRDefault="005F4BD7" w:rsidP="005F4BD7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Style w:val="ae"/>
          <w:rFonts w:ascii="Lato" w:hAnsi="Lato"/>
          <w:color w:val="273540"/>
        </w:rPr>
        <w:t>Final Presentation &amp; Repo Push (Due August 7, 2026):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Complete repository submission and a video presentation link documenting your infrastructure architecture and benchmarking results.</w:t>
      </w:r>
    </w:p>
    <w:p w14:paraId="35AFB232" w14:textId="77777777" w:rsidR="005F4BD7" w:rsidRDefault="005F4BD7" w:rsidP="005F4BD7">
      <w:pPr>
        <w:pStyle w:val="2"/>
        <w:spacing w:before="90" w:after="90"/>
        <w:rPr>
          <w:rFonts w:ascii="Lato" w:hAnsi="Lato"/>
          <w:color w:val="273540"/>
          <w:sz w:val="43"/>
          <w:szCs w:val="43"/>
        </w:rPr>
      </w:pPr>
      <w:r>
        <w:rPr>
          <w:rStyle w:val="ae"/>
          <w:rFonts w:ascii="Lato" w:hAnsi="Lato"/>
          <w:b w:val="0"/>
          <w:bCs w:val="0"/>
          <w:color w:val="273540"/>
          <w:sz w:val="43"/>
          <w:szCs w:val="43"/>
        </w:rPr>
        <w:t>Required Tooling Matrix</w:t>
      </w:r>
    </w:p>
    <w:p w14:paraId="3054090C" w14:textId="77777777" w:rsidR="005F4BD7" w:rsidRDefault="005F4BD7" w:rsidP="005F4BD7">
      <w:pPr>
        <w:pStyle w:val="a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Your project must leverage at least three elements from the modern AI Infrastructure stack covered in this course:</w:t>
      </w:r>
    </w:p>
    <w:p w14:paraId="22EBE5E1" w14:textId="77777777" w:rsidR="005F4BD7" w:rsidRDefault="005F4BD7" w:rsidP="005F4BD7">
      <w:pPr>
        <w:pStyle w:val="af"/>
        <w:spacing w:before="180" w:beforeAutospacing="0" w:after="24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[Compute </w:t>
      </w:r>
      <w:proofErr w:type="gramStart"/>
      <w:r>
        <w:rPr>
          <w:rFonts w:ascii="Lato" w:hAnsi="Lato"/>
          <w:color w:val="273540"/>
        </w:rPr>
        <w:t xml:space="preserve">Targets]   </w:t>
      </w:r>
      <w:proofErr w:type="gramEnd"/>
      <w:r>
        <w:rPr>
          <w:rFonts w:ascii="Lato" w:hAnsi="Lato"/>
          <w:color w:val="273540"/>
        </w:rPr>
        <w:t>---&gt; CPUs, NVIDIA GPUs, or Google Cloud TPU Slices</w:t>
      </w:r>
      <w:r>
        <w:rPr>
          <w:rFonts w:ascii="Lato" w:hAnsi="Lato"/>
          <w:color w:val="273540"/>
        </w:rPr>
        <w:br/>
        <w:t>[</w:t>
      </w:r>
      <w:proofErr w:type="gramStart"/>
      <w:r>
        <w:rPr>
          <w:rFonts w:ascii="Lato" w:hAnsi="Lato"/>
          <w:color w:val="273540"/>
        </w:rPr>
        <w:t xml:space="preserve">Orchestration]   </w:t>
      </w:r>
      <w:proofErr w:type="gramEnd"/>
      <w:r>
        <w:rPr>
          <w:rFonts w:ascii="Lato" w:hAnsi="Lato"/>
          <w:color w:val="273540"/>
        </w:rPr>
        <w:t>  ---&gt; Kubernetes (GKE), Docker, or SLURM Cluster Scripts</w:t>
      </w:r>
      <w:r>
        <w:rPr>
          <w:rFonts w:ascii="Lato" w:hAnsi="Lato"/>
          <w:color w:val="273540"/>
        </w:rPr>
        <w:br/>
      </w:r>
      <w:r>
        <w:rPr>
          <w:rFonts w:ascii="Lato" w:hAnsi="Lato"/>
          <w:color w:val="273540"/>
        </w:rPr>
        <w:lastRenderedPageBreak/>
        <w:t>[Compilation Layer] ---&gt; JAX/XLA Compilation, PyTorch Inductor, or Triton Kernels</w:t>
      </w:r>
      <w:r>
        <w:rPr>
          <w:rFonts w:ascii="Lato" w:hAnsi="Lato"/>
          <w:color w:val="273540"/>
        </w:rPr>
        <w:br/>
        <w:t>[</w:t>
      </w:r>
      <w:proofErr w:type="gramStart"/>
      <w:r>
        <w:rPr>
          <w:rFonts w:ascii="Lato" w:hAnsi="Lato"/>
          <w:color w:val="273540"/>
        </w:rPr>
        <w:t xml:space="preserve">Telemetry]   </w:t>
      </w:r>
      <w:proofErr w:type="gramEnd"/>
      <w:r>
        <w:rPr>
          <w:rFonts w:ascii="Lato" w:hAnsi="Lato"/>
          <w:color w:val="273540"/>
        </w:rPr>
        <w:t>      ---&gt; Weights &amp; Biases, TensorBoard Profiler, or Native Node Metrics</w:t>
      </w:r>
    </w:p>
    <w:p w14:paraId="4EDEBE61" w14:textId="77777777" w:rsidR="005F4BD7" w:rsidRDefault="005F4BD7" w:rsidP="005F4BD7">
      <w:pPr>
        <w:pStyle w:val="2"/>
        <w:spacing w:before="90" w:after="90"/>
        <w:rPr>
          <w:rFonts w:ascii="Lato" w:hAnsi="Lato"/>
          <w:color w:val="273540"/>
          <w:sz w:val="43"/>
          <w:szCs w:val="43"/>
        </w:rPr>
      </w:pPr>
      <w:r>
        <w:rPr>
          <w:rStyle w:val="ae"/>
          <w:rFonts w:ascii="Lato" w:hAnsi="Lato"/>
          <w:b w:val="0"/>
          <w:bCs w:val="0"/>
          <w:color w:val="273540"/>
          <w:sz w:val="43"/>
          <w:szCs w:val="43"/>
        </w:rPr>
        <w:t>Comprehensive Grading Rubric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738"/>
        <w:gridCol w:w="5551"/>
      </w:tblGrid>
      <w:tr w:rsidR="005F4BD7" w14:paraId="2DCB98DD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3A80AE" w14:textId="77777777" w:rsidR="005F4BD7" w:rsidRDefault="005F4BD7">
            <w:pPr>
              <w:pStyle w:val="af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Style w:val="ae"/>
                <w:rFonts w:ascii="Lato" w:hAnsi="Lato"/>
                <w:color w:val="273540"/>
              </w:rPr>
              <w:t>Category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676D34" w14:textId="77777777" w:rsidR="005F4BD7" w:rsidRDefault="005F4BD7">
            <w:pPr>
              <w:pStyle w:val="af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Style w:val="ae"/>
                <w:rFonts w:ascii="Lato" w:hAnsi="Lato"/>
                <w:color w:val="273540"/>
              </w:rPr>
              <w:t>Points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D51D22" w14:textId="77777777" w:rsidR="005F4BD7" w:rsidRDefault="005F4BD7">
            <w:pPr>
              <w:pStyle w:val="af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Style w:val="ae"/>
                <w:rFonts w:ascii="Lato" w:hAnsi="Lato"/>
                <w:color w:val="273540"/>
              </w:rPr>
              <w:t>Criteria Expectations</w:t>
            </w:r>
          </w:p>
        </w:tc>
      </w:tr>
      <w:tr w:rsidR="005F4BD7" w14:paraId="3CBE0F1A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B42555" w14:textId="77777777" w:rsidR="005F4BD7" w:rsidRDefault="005F4BD7">
            <w:pPr>
              <w:pStyle w:val="af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Style w:val="ae"/>
                <w:rFonts w:ascii="Lato" w:hAnsi="Lato"/>
                <w:color w:val="273540"/>
              </w:rPr>
              <w:t>Container &amp; Manifest Integrity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091FEB" w14:textId="77777777" w:rsidR="005F4BD7" w:rsidRDefault="005F4BD7">
            <w:pPr>
              <w:pStyle w:val="af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20 pts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1A65BF" w14:textId="77777777" w:rsidR="005F4BD7" w:rsidRDefault="005F4BD7">
            <w:pPr>
              <w:pStyle w:val="af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Reusable, non-breaking Dockerfile and infrastructure configuration manifests.</w:t>
            </w:r>
          </w:p>
        </w:tc>
      </w:tr>
      <w:tr w:rsidR="005F4BD7" w14:paraId="2F619279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56338E" w14:textId="77777777" w:rsidR="005F4BD7" w:rsidRDefault="005F4BD7">
            <w:pPr>
              <w:pStyle w:val="af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Style w:val="ae"/>
                <w:rFonts w:ascii="Lato" w:hAnsi="Lato"/>
                <w:color w:val="273540"/>
              </w:rPr>
              <w:t>Data &amp; Storage Management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04C9FF" w14:textId="77777777" w:rsidR="005F4BD7" w:rsidRDefault="005F4BD7">
            <w:pPr>
              <w:pStyle w:val="af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20 pts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C5F554" w14:textId="77777777" w:rsidR="005F4BD7" w:rsidRDefault="005F4BD7">
            <w:pPr>
              <w:pStyle w:val="af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Zero execution stalls due to misconfigured mount storage paths or bucket permissions reading datasets like Churn_Dataset.csv.</w:t>
            </w:r>
          </w:p>
        </w:tc>
      </w:tr>
      <w:tr w:rsidR="005F4BD7" w14:paraId="595DA04A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3D08A5" w14:textId="77777777" w:rsidR="005F4BD7" w:rsidRDefault="005F4BD7">
            <w:pPr>
              <w:pStyle w:val="af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Style w:val="ae"/>
                <w:rFonts w:ascii="Lato" w:hAnsi="Lato"/>
                <w:color w:val="273540"/>
              </w:rPr>
              <w:t>Scale &amp; Telemetry Benchmarking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816FDE" w14:textId="77777777" w:rsidR="005F4BD7" w:rsidRDefault="005F4BD7">
            <w:pPr>
              <w:pStyle w:val="af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30 pts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AD6DE4" w14:textId="77777777" w:rsidR="005F4BD7" w:rsidRDefault="005F4BD7">
            <w:pPr>
              <w:pStyle w:val="af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Clean, data-backed hardware telemetry captures comparing different nodes.</w:t>
            </w:r>
          </w:p>
        </w:tc>
      </w:tr>
      <w:tr w:rsidR="005F4BD7" w14:paraId="3B0F4638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DB1643" w14:textId="77777777" w:rsidR="005F4BD7" w:rsidRDefault="005F4BD7">
            <w:pPr>
              <w:pStyle w:val="af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Style w:val="ae"/>
                <w:rFonts w:ascii="Lato" w:hAnsi="Lato"/>
                <w:color w:val="273540"/>
              </w:rPr>
              <w:t>Architecture &amp; Bottleneck Analysis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F2114F" w14:textId="77777777" w:rsidR="005F4BD7" w:rsidRDefault="005F4BD7">
            <w:pPr>
              <w:pStyle w:val="af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30 pts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8EDF0A" w14:textId="77777777" w:rsidR="005F4BD7" w:rsidRDefault="005F4BD7">
            <w:pPr>
              <w:pStyle w:val="af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Deep, insightful analysis showing a clear grasp of systems engineering realities, accompanied by a clean,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Style w:val="ae"/>
                <w:rFonts w:ascii="Lato" w:hAnsi="Lato"/>
                <w:color w:val="273540"/>
              </w:rPr>
              <w:t>maximum 5-slide deck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cleanly highlighting the comparative CPU, GPU, and TPU results.</w:t>
            </w:r>
          </w:p>
        </w:tc>
      </w:tr>
    </w:tbl>
    <w:p w14:paraId="5405A60A" w14:textId="77777777" w:rsidR="005F4BD7" w:rsidRDefault="005F4BD7" w:rsidP="005F4BD7">
      <w:pPr>
        <w:pStyle w:val="a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i/>
          <w:iCs/>
          <w:color w:val="273540"/>
        </w:rPr>
        <w:t>No prior cluster orchestration experience is required to excel—Option 1 provides you with a direct path using a familiar dataset so you can focus entirely on mastering cluster architecture workflows. Let's build some scale!</w:t>
      </w:r>
    </w:p>
    <w:p w14:paraId="3C54D2BC" w14:textId="77777777" w:rsidR="002F0564" w:rsidRPr="005F4BD7" w:rsidRDefault="002F0564" w:rsidP="005F4BD7"/>
    <w:sectPr w:rsidR="002F0564" w:rsidRPr="005F4B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425817"/>
    <w:multiLevelType w:val="multilevel"/>
    <w:tmpl w:val="45CA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A2BE1"/>
    <w:multiLevelType w:val="multilevel"/>
    <w:tmpl w:val="28A6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20F16"/>
    <w:multiLevelType w:val="multilevel"/>
    <w:tmpl w:val="F6BA0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601806"/>
    <w:multiLevelType w:val="multilevel"/>
    <w:tmpl w:val="C8923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136EAA"/>
    <w:multiLevelType w:val="multilevel"/>
    <w:tmpl w:val="6BCA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47F7F"/>
    <w:multiLevelType w:val="multilevel"/>
    <w:tmpl w:val="2326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C778E"/>
    <w:multiLevelType w:val="multilevel"/>
    <w:tmpl w:val="9B42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B7D48"/>
    <w:multiLevelType w:val="multilevel"/>
    <w:tmpl w:val="03A8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A0AFE"/>
    <w:multiLevelType w:val="multilevel"/>
    <w:tmpl w:val="C22E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6391F"/>
    <w:multiLevelType w:val="multilevel"/>
    <w:tmpl w:val="4614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3575FB"/>
    <w:multiLevelType w:val="multilevel"/>
    <w:tmpl w:val="0128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E4692"/>
    <w:multiLevelType w:val="multilevel"/>
    <w:tmpl w:val="2988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E5DBB"/>
    <w:multiLevelType w:val="multilevel"/>
    <w:tmpl w:val="177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437FD"/>
    <w:multiLevelType w:val="multilevel"/>
    <w:tmpl w:val="3246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7556B"/>
    <w:multiLevelType w:val="multilevel"/>
    <w:tmpl w:val="7C94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91489"/>
    <w:multiLevelType w:val="multilevel"/>
    <w:tmpl w:val="12F6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C674D"/>
    <w:multiLevelType w:val="multilevel"/>
    <w:tmpl w:val="9AF8A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8F68A4"/>
    <w:multiLevelType w:val="multilevel"/>
    <w:tmpl w:val="714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D10B16"/>
    <w:multiLevelType w:val="multilevel"/>
    <w:tmpl w:val="E78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EA0386"/>
    <w:multiLevelType w:val="multilevel"/>
    <w:tmpl w:val="C6BA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838472">
    <w:abstractNumId w:val="7"/>
  </w:num>
  <w:num w:numId="2" w16cid:durableId="2023359287">
    <w:abstractNumId w:val="16"/>
  </w:num>
  <w:num w:numId="3" w16cid:durableId="1420714496">
    <w:abstractNumId w:val="17"/>
  </w:num>
  <w:num w:numId="4" w16cid:durableId="837841964">
    <w:abstractNumId w:val="14"/>
  </w:num>
  <w:num w:numId="5" w16cid:durableId="789207211">
    <w:abstractNumId w:val="1"/>
  </w:num>
  <w:num w:numId="6" w16cid:durableId="824207218">
    <w:abstractNumId w:val="15"/>
  </w:num>
  <w:num w:numId="7" w16cid:durableId="442654873">
    <w:abstractNumId w:val="10"/>
  </w:num>
  <w:num w:numId="8" w16cid:durableId="1135683303">
    <w:abstractNumId w:val="2"/>
  </w:num>
  <w:num w:numId="9" w16cid:durableId="1873808152">
    <w:abstractNumId w:val="5"/>
  </w:num>
  <w:num w:numId="10" w16cid:durableId="1567184322">
    <w:abstractNumId w:val="12"/>
  </w:num>
  <w:num w:numId="11" w16cid:durableId="1202552630">
    <w:abstractNumId w:val="8"/>
  </w:num>
  <w:num w:numId="12" w16cid:durableId="1621910754">
    <w:abstractNumId w:val="3"/>
  </w:num>
  <w:num w:numId="13" w16cid:durableId="2103911600">
    <w:abstractNumId w:val="18"/>
  </w:num>
  <w:num w:numId="14" w16cid:durableId="629215305">
    <w:abstractNumId w:val="6"/>
  </w:num>
  <w:num w:numId="15" w16cid:durableId="1785806675">
    <w:abstractNumId w:val="19"/>
  </w:num>
  <w:num w:numId="16" w16cid:durableId="1236356366">
    <w:abstractNumId w:val="0"/>
  </w:num>
  <w:num w:numId="17" w16cid:durableId="375007272">
    <w:abstractNumId w:val="11"/>
  </w:num>
  <w:num w:numId="18" w16cid:durableId="842402978">
    <w:abstractNumId w:val="9"/>
  </w:num>
  <w:num w:numId="19" w16cid:durableId="1550147273">
    <w:abstractNumId w:val="13"/>
  </w:num>
  <w:num w:numId="20" w16cid:durableId="75316138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0C"/>
    <w:rsid w:val="00024DA8"/>
    <w:rsid w:val="00033EDE"/>
    <w:rsid w:val="000F6CC4"/>
    <w:rsid w:val="001763EE"/>
    <w:rsid w:val="002F0564"/>
    <w:rsid w:val="005F4BD7"/>
    <w:rsid w:val="00667F7E"/>
    <w:rsid w:val="006A322F"/>
    <w:rsid w:val="006B6E1D"/>
    <w:rsid w:val="0071389B"/>
    <w:rsid w:val="007649E7"/>
    <w:rsid w:val="0078170C"/>
    <w:rsid w:val="007948C3"/>
    <w:rsid w:val="0097664C"/>
    <w:rsid w:val="009863DA"/>
    <w:rsid w:val="00A37470"/>
    <w:rsid w:val="00A846FE"/>
    <w:rsid w:val="00A9554E"/>
    <w:rsid w:val="00AB7477"/>
    <w:rsid w:val="00E2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36C3DC"/>
  <w15:chartTrackingRefBased/>
  <w15:docId w15:val="{D22CC35F-ACE9-4644-9088-32A5B1553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17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81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817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817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17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170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17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17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17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17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81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81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817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17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17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17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17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17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17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1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17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17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1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17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17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17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1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17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170C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78170C"/>
    <w:rPr>
      <w:b/>
      <w:bCs/>
    </w:rPr>
  </w:style>
  <w:style w:type="character" w:customStyle="1" w:styleId="apple-converted-space">
    <w:name w:val="apple-converted-space"/>
    <w:basedOn w:val="a0"/>
    <w:rsid w:val="0078170C"/>
  </w:style>
  <w:style w:type="paragraph" w:styleId="af">
    <w:name w:val="Normal (Web)"/>
    <w:basedOn w:val="a"/>
    <w:uiPriority w:val="99"/>
    <w:semiHidden/>
    <w:unhideWhenUsed/>
    <w:rsid w:val="0078170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instructurefileholder">
    <w:name w:val="instructure_file_holder"/>
    <w:basedOn w:val="a0"/>
    <w:rsid w:val="0078170C"/>
  </w:style>
  <w:style w:type="character" w:styleId="af0">
    <w:name w:val="Hyperlink"/>
    <w:basedOn w:val="a0"/>
    <w:uiPriority w:val="99"/>
    <w:semiHidden/>
    <w:unhideWhenUsed/>
    <w:rsid w:val="0078170C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5F4BD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5F4BD7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5F4BD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anvas.stanford.edu/courses/228466/files/17340187?wrap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nvas.stanford.edu/courses/228466/files/17340187?wrap=1" TargetMode="External"/><Relationship Id="rId5" Type="http://schemas.openxmlformats.org/officeDocument/2006/relationships/hyperlink" Target="https://canvas.stanford.edu/courses/228466/files/17340187?wrap=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1680</Words>
  <Characters>9577</Characters>
  <Application>Microsoft Office Word</Application>
  <DocSecurity>0</DocSecurity>
  <Lines>79</Lines>
  <Paragraphs>22</Paragraphs>
  <ScaleCrop>false</ScaleCrop>
  <Company/>
  <LinksUpToDate>false</LinksUpToDate>
  <CharactersWithSpaces>11235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</dc:creator>
  <cp:keywords/>
  <dc:description/>
  <cp:lastModifiedBy>Stephanie</cp:lastModifiedBy>
  <cp:revision>2</cp:revision>
  <dcterms:created xsi:type="dcterms:W3CDTF">2026-07-29T17:58:00Z</dcterms:created>
  <dcterms:modified xsi:type="dcterms:W3CDTF">2026-08-11T04:33:00Z</dcterms:modified>
</cp:coreProperties>
</file>