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Core microbiome ASVs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4"/>
        <w:gridCol w:w="3734"/>
        <w:gridCol w:w="1145"/>
        <w:gridCol w:w="1834"/>
        <w:gridCol w:w="3156"/>
      </w:tblGrid>
      <w:tr>
        <w:trPr>
          <w:trHeight w:val="59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Phylum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Prevalence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relative abundance (%)</w:t>
            </w:r>
          </w:p>
        </w:tc>
      </w:tr>
      <w:tr>
        <w:trPr>
          <w:trHeight w:val="595" w:hRule="auto"/>
        </w:trPr>
        body 1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Ruegeria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2.16</w:t>
            </w:r>
          </w:p>
        </w:tc>
      </w:tr>
      <w:tr>
        <w:trPr>
          <w:trHeight w:val="559" w:hRule="auto"/>
        </w:trPr>
        body 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1.08</w:t>
            </w:r>
          </w:p>
        </w:tc>
      </w:tr>
      <w:tr>
        <w:trPr>
          <w:trHeight w:val="559" w:hRule="auto"/>
        </w:trPr>
        body 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Unidentified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</w:t>
            </w:r>
          </w:p>
        </w:tc>
      </w:tr>
      <w:tr>
        <w:trPr>
          <w:trHeight w:val="559" w:hRule="auto"/>
        </w:trPr>
        body 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Unidentified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</w:t>
            </w:r>
          </w:p>
        </w:tc>
      </w:tr>
      <w:tr>
        <w:trPr>
          <w:trHeight w:val="559" w:hRule="auto"/>
        </w:trPr>
        body 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Shimia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</w:t>
            </w:r>
          </w:p>
        </w:tc>
      </w:tr>
      <w:tr>
        <w:trPr>
          <w:trHeight w:val="559" w:hRule="auto"/>
        </w:trPr>
        body 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Acinetobacter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ASV233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</w:tr>
      <w:tr>
        <w:trPr>
          <w:trHeight w:val="559" w:hRule="auto"/>
        </w:trPr>
        body 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Unidentified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</w:tr>
      <w:tr>
        <w:trPr>
          <w:trHeight w:val="596" w:hRule="auto"/>
        </w:trPr>
        body 8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Winogradskyella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</w:t>
            </w:r>
          </w:p>
        </w:tc>
      </w:tr>
      <w:tr>
        <w:trPr>
          <w:trHeight w:val="559" w:hRule="auto"/>
        </w:trPr>
        body 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Fabibacter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</w:t>
            </w:r>
          </w:p>
        </w:tc>
      </w:tr>
      <w:tr>
        <w:trPr>
          <w:trHeight w:val="559" w:hRule="auto"/>
        </w:trPr>
        body10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</w:tr>
      <w:tr>
        <w:trPr>
          <w:trHeight w:val="559" w:hRule="auto"/>
        </w:trPr>
        body11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Lewinella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</w:tr>
      <w:tr>
        <w:trPr>
          <w:trHeight w:val="598" w:hRule="auto"/>
        </w:trPr>
        body12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Psychroflexus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ASV243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</w:tr>
      <w:tr>
        <w:trPr>
          <w:trHeight w:val="596" w:hRule="auto"/>
        </w:trPr>
        body13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Unidentified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</w:tr>
      <w:tr>
        <w:trPr>
          <w:trHeight w:val="596" w:hRule="auto"/>
        </w:trPr>
        body14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Unidentified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</w:t>
            </w:r>
          </w:p>
        </w:tc>
      </w:tr>
      <w:tr>
        <w:trPr>
          <w:trHeight w:val="596" w:hRule="auto"/>
        </w:trPr>
        body15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Urania-1B-19-marine-sediment-group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</w:tr>
      <w:tr>
        <w:trPr>
          <w:trHeight w:val="598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Actinobacteriota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Sva0996-marine-group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ASV234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</w:tr>
      <w:tr>
        <w:trPr>
          <w:trHeight w:val="598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Parasynechococcus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</w:t>
            </w:r>
          </w:p>
        </w:tc>
      </w:tr>
      <w:tr>
        <w:trPr>
          <w:trHeight w:val="559" w:hRule="auto"/>
        </w:trPr>
        body18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Rubritalea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ASV135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Core ASVs present in more than 90% of samples (n = 47). Together they account for 7.4% of the reads.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2026-10-21T13:55:43Z</dcterms:modified>
  <cp:category/>
</cp:coreProperties>
</file>