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T2b_variance_partitioning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1"/>
        <w:gridCol w:w="1288"/>
        <w:gridCol w:w="1055"/>
        <w:gridCol w:w="1466"/>
        <w:gridCol w:w="138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Range (%)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0–87.2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PO₄³⁻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0–67.6</w:t>
            </w:r>
          </w:p>
        </w:tc>
      </w:tr>
      <w:tr>
        <w:trPr>
          <w:trHeight w:val="59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0–72.8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Chlorophyll-a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0–59.8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environmental variables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0.3–98.3</w:t>
            </w:r>
          </w:p>
        </w:tc>
      </w:tr>
      <w:tr>
        <w:trPr>
          <w:trHeight w:val="557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Latent variable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0–91.8</w:t>
            </w:r>
          </w:p>
        </w:tc>
      </w:tr>
      <w:tr>
        <w:trPr>
          <w:trHeight w:val="557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Latent variable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0–93.3</w:t>
            </w:r>
          </w:p>
        </w:tc>
      </w:tr>
      <w:tr>
        <w:trPr>
          <w:trHeight w:val="598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 (random effect)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0–75.1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2026-10-19T14:52:47Z</dcterms:modified>
  <cp:category/>
</cp:coreProperties>
</file>