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Core microbiome ASVs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4"/>
        <w:gridCol w:w="3734"/>
        <w:gridCol w:w="1145"/>
        <w:gridCol w:w="1834"/>
        <w:gridCol w:w="3156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Prevalence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relative abundance (%)</w:t>
            </w:r>
          </w:p>
        </w:tc>
      </w:tr>
      <w:tr>
        <w:trPr>
          <w:trHeight w:val="595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2.24</w:t>
            </w:r>
          </w:p>
        </w:tc>
      </w:tr>
      <w:tr>
        <w:trPr>
          <w:trHeight w:val="559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</w:t>
            </w:r>
          </w:p>
        </w:tc>
      </w:tr>
      <w:tr>
        <w:trPr>
          <w:trHeight w:val="559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</w:tr>
      <w:tr>
        <w:trPr>
          <w:trHeight w:val="559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</w:tr>
      <w:tr>
        <w:trPr>
          <w:trHeight w:val="595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</w:tr>
      <w:tr>
        <w:trPr>
          <w:trHeight w:val="559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Shimia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</w:tr>
      <w:tr>
        <w:trPr>
          <w:trHeight w:val="559" w:hRule="auto"/>
        </w:trPr>
        body 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Ascidiaceihabitans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</w:tr>
      <w:tr>
        <w:trPr>
          <w:trHeight w:val="559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Acinetobacter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</w:tr>
      <w:tr>
        <w:trPr>
          <w:trHeight w:val="559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</w:tr>
      <w:tr>
        <w:trPr>
          <w:trHeight w:val="559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Labrenzia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</w:tr>
      <w:tr>
        <w:trPr>
          <w:trHeight w:val="596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Erythrobacter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ASV373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</w:tr>
      <w:tr>
        <w:trPr>
          <w:trHeight w:val="559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Pseudahrensia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</w:tr>
      <w:tr>
        <w:trPr>
          <w:trHeight w:val="559" w:hRule="auto"/>
        </w:trPr>
        body13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Ascidiaceihabitans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</w:tr>
      <w:tr>
        <w:trPr>
          <w:trHeight w:val="559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ASV586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</w:tr>
      <w:tr>
        <w:trPr>
          <w:trHeight w:val="595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ASV459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</w:tr>
      <w:tr>
        <w:trPr>
          <w:trHeight w:val="596" w:hRule="auto"/>
        </w:trPr>
        body16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Winogradskyella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</w:t>
            </w:r>
          </w:p>
        </w:tc>
      </w:tr>
      <w:tr>
        <w:trPr>
          <w:trHeight w:val="559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Fabibacter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</w:tr>
      <w:tr>
        <w:trPr>
          <w:trHeight w:val="559" w:hRule="auto"/>
        </w:trPr>
        body18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</w:tr>
      <w:tr>
        <w:trPr>
          <w:trHeight w:val="559" w:hRule="auto"/>
        </w:trPr>
        body19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Lewinella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</w:tr>
      <w:tr>
        <w:trPr>
          <w:trHeight w:val="595" w:hRule="auto"/>
        </w:trPr>
        body20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Fulvivirga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</w:tr>
      <w:tr>
        <w:trPr>
          <w:trHeight w:val="598" w:hRule="auto"/>
        </w:trPr>
        body21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Psychroflexus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</w:tr>
      <w:tr>
        <w:trPr>
          <w:trHeight w:val="596" w:hRule="auto"/>
        </w:trPr>
        body22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</w:tr>
      <w:tr>
        <w:trPr>
          <w:trHeight w:val="596" w:hRule="auto"/>
        </w:trPr>
        body23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</w:tr>
      <w:tr>
        <w:trPr>
          <w:trHeight w:val="596" w:hRule="auto"/>
        </w:trPr>
        body24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Urania-1B-19-marine-sediment-group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</w:tr>
      <w:tr>
        <w:trPr>
          <w:trHeight w:val="596" w:hRule="auto"/>
        </w:trPr>
        body25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ASV489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</w:tr>
      <w:tr>
        <w:trPr>
          <w:trHeight w:val="559" w:hRule="auto"/>
        </w:trPr>
        body26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Rubritalea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</w:tr>
      <w:tr>
        <w:trPr>
          <w:trHeight w:val="594" w:hRule="auto"/>
        </w:trPr>
        body27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Lentisphaera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ASV881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</w:tr>
      <w:tr>
        <w:trPr>
          <w:trHeight w:val="598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Sva0996-marine-group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Parasynechococcus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ASV64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Core ASVs present in more than 90% of samples (n = 45). Together they account for 9.1% of the reads.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2026-10-27T15:21:57Z</dcterms:modified>
  <cp:category/>
</cp:coreProperties>
</file>