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T2b_variance_partitioning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1"/>
        <w:gridCol w:w="1288"/>
        <w:gridCol w:w="1055"/>
        <w:gridCol w:w="1466"/>
        <w:gridCol w:w="138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Range (%)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0–82.4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PO₄³⁻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0–55.4</w:t>
            </w:r>
          </w:p>
        </w:tc>
      </w:tr>
      <w:tr>
        <w:trPr>
          <w:trHeight w:val="59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0–56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Chlorophyll-a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0–58.4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environmental variables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0.4–98.1</w:t>
            </w:r>
          </w:p>
        </w:tc>
      </w:tr>
      <w:tr>
        <w:trPr>
          <w:trHeight w:val="557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Latent variable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0–84.6</w:t>
            </w:r>
          </w:p>
        </w:tc>
      </w:tr>
      <w:tr>
        <w:trPr>
          <w:trHeight w:val="557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Latent variable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0–65.2</w:t>
            </w:r>
          </w:p>
        </w:tc>
      </w:tr>
      <w:tr>
        <w:trPr>
          <w:trHeight w:val="598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 (random effect)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0.1–73.1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2026-10-26T14:46:34Z</dcterms:modified>
  <cp:category/>
</cp:coreProperties>
</file>