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3B9B" w:rsidRPr="007F5990" w:rsidRDefault="00000000">
      <w:pPr>
        <w:pStyle w:val="Heading1"/>
        <w:rPr>
          <w:rFonts w:ascii="Times New Roman" w:hAnsi="Times New Roman" w:cs="Times New Roman"/>
          <w:b/>
          <w:bCs/>
          <w:color w:val="000000" w:themeColor="text1"/>
        </w:rPr>
      </w:pPr>
      <w:bookmarkStart w:id="0" w:name="retail-credit-risk-analysis"/>
      <w:r w:rsidRPr="007F5990">
        <w:rPr>
          <w:rFonts w:ascii="Times New Roman" w:hAnsi="Times New Roman" w:cs="Times New Roman"/>
          <w:b/>
          <w:bCs/>
          <w:color w:val="000000" w:themeColor="text1"/>
        </w:rPr>
        <w:t>Retail Credit Risk Analysis</w:t>
      </w:r>
    </w:p>
    <w:p w:rsidR="008A3B9B" w:rsidRPr="007F5990" w:rsidRDefault="00000000">
      <w:pPr>
        <w:pStyle w:val="Heading2"/>
        <w:rPr>
          <w:rFonts w:ascii="Times New Roman" w:hAnsi="Times New Roman" w:cs="Times New Roman"/>
          <w:color w:val="000000" w:themeColor="text1"/>
        </w:rPr>
      </w:pPr>
      <w:bookmarkStart w:id="1" w:name="X87fedbe1501bfbe9f002ea60adac275c7b9bedc"/>
      <w:r w:rsidRPr="007F5990">
        <w:rPr>
          <w:rFonts w:ascii="Times New Roman" w:hAnsi="Times New Roman" w:cs="Times New Roman"/>
          <w:color w:val="000000" w:themeColor="text1"/>
        </w:rPr>
        <w:t>Probability of Default Modelling and Risk Appetite Decisioning</w:t>
      </w:r>
    </w:p>
    <w:p w:rsidR="008A3B9B" w:rsidRPr="007F5990" w:rsidRDefault="00000000">
      <w:pPr>
        <w:pStyle w:val="Heading3"/>
        <w:rPr>
          <w:rFonts w:ascii="Times New Roman" w:hAnsi="Times New Roman" w:cs="Times New Roman"/>
          <w:b/>
          <w:bCs/>
          <w:color w:val="000000" w:themeColor="text1"/>
        </w:rPr>
      </w:pPr>
      <w:bookmarkStart w:id="2" w:name="introduction"/>
      <w:r w:rsidRPr="007F5990">
        <w:rPr>
          <w:rFonts w:ascii="Times New Roman" w:hAnsi="Times New Roman" w:cs="Times New Roman"/>
          <w:b/>
          <w:bCs/>
          <w:color w:val="000000" w:themeColor="text1"/>
        </w:rPr>
        <w:t>1. Introduction</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Retail banks face the continuous challenge of balancing credit growth with loss control. Effective credit risk management requires not only accurate prediction of default risk, but also the translation of those predictions into lending decisions that align with the bank’s risk appetite.</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This report presents a retail credit risk analysis using the German Credit dataset as a proxy for application-level lending data. The focus is on estimating the Probability of Default (PD) and demonstrating how PD outputs can be operationalised into real-world credit decisions.</w:t>
      </w:r>
    </w:p>
    <w:p w:rsidR="008A3B9B" w:rsidRPr="007F5990" w:rsidRDefault="008A3B9B">
      <w:pPr>
        <w:rPr>
          <w:rFonts w:ascii="Times New Roman" w:hAnsi="Times New Roman" w:cs="Times New Roman"/>
          <w:color w:val="000000" w:themeColor="text1"/>
        </w:rPr>
      </w:pPr>
    </w:p>
    <w:p w:rsidR="008A3B9B" w:rsidRPr="007F5990" w:rsidRDefault="00000000">
      <w:pPr>
        <w:pStyle w:val="Heading3"/>
        <w:rPr>
          <w:rFonts w:ascii="Times New Roman" w:hAnsi="Times New Roman" w:cs="Times New Roman"/>
          <w:b/>
          <w:bCs/>
          <w:color w:val="000000" w:themeColor="text1"/>
        </w:rPr>
      </w:pPr>
      <w:bookmarkStart w:id="3" w:name="dataset-description"/>
      <w:bookmarkEnd w:id="2"/>
      <w:r w:rsidRPr="007F5990">
        <w:rPr>
          <w:rFonts w:ascii="Times New Roman" w:hAnsi="Times New Roman" w:cs="Times New Roman"/>
          <w:b/>
          <w:bCs/>
          <w:color w:val="000000" w:themeColor="text1"/>
        </w:rPr>
        <w:t>2. Dataset Description</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The German Credit dataset contains 1,000 observations representing individual loan applicants. Each observation includes application-time borrower characteristics such as credit duration, loan amount, employment status, savings history, housing situation, and age.</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The target variable indicates creditworthiness: - Good credit outcome - Bad credit outcome (treated as default)</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The dataset is suitable for credit risk modelling as it avoids post-origination information, thereby preventing data leakage.</w:t>
      </w:r>
    </w:p>
    <w:p w:rsidR="008A3B9B" w:rsidRPr="007F5990" w:rsidRDefault="008A3B9B">
      <w:pPr>
        <w:rPr>
          <w:rFonts w:ascii="Times New Roman" w:hAnsi="Times New Roman" w:cs="Times New Roman"/>
          <w:color w:val="000000" w:themeColor="text1"/>
        </w:rPr>
      </w:pPr>
    </w:p>
    <w:p w:rsidR="008A3B9B" w:rsidRPr="007F5990" w:rsidRDefault="00000000">
      <w:pPr>
        <w:pStyle w:val="Heading3"/>
        <w:rPr>
          <w:rFonts w:ascii="Times New Roman" w:hAnsi="Times New Roman" w:cs="Times New Roman"/>
          <w:b/>
          <w:bCs/>
          <w:color w:val="000000" w:themeColor="text1"/>
        </w:rPr>
      </w:pPr>
      <w:bookmarkStart w:id="4" w:name="methodology"/>
      <w:bookmarkEnd w:id="3"/>
      <w:r w:rsidRPr="007F5990">
        <w:rPr>
          <w:rFonts w:ascii="Times New Roman" w:hAnsi="Times New Roman" w:cs="Times New Roman"/>
          <w:b/>
          <w:bCs/>
          <w:color w:val="000000" w:themeColor="text1"/>
        </w:rPr>
        <w:t>3. Methodology</w:t>
      </w:r>
    </w:p>
    <w:p w:rsidR="008A3B9B" w:rsidRPr="007F5990" w:rsidRDefault="00000000">
      <w:pPr>
        <w:pStyle w:val="Heading4"/>
        <w:rPr>
          <w:rFonts w:ascii="Times New Roman" w:hAnsi="Times New Roman" w:cs="Times New Roman"/>
          <w:b/>
          <w:bCs/>
          <w:i w:val="0"/>
          <w:iCs w:val="0"/>
          <w:color w:val="000000" w:themeColor="text1"/>
        </w:rPr>
      </w:pPr>
      <w:bookmarkStart w:id="5" w:name="target-definition"/>
      <w:r w:rsidRPr="007F5990">
        <w:rPr>
          <w:rFonts w:ascii="Times New Roman" w:hAnsi="Times New Roman" w:cs="Times New Roman"/>
          <w:b/>
          <w:bCs/>
          <w:i w:val="0"/>
          <w:iCs w:val="0"/>
          <w:color w:val="000000" w:themeColor="text1"/>
        </w:rPr>
        <w:t>3.1 Target Definition</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A binary default indicator was created, where a bad credit outcome was labelled as default. This aligns with standard retail credit risk conventions.</w:t>
      </w:r>
    </w:p>
    <w:p w:rsidR="008A3B9B" w:rsidRPr="007F5990" w:rsidRDefault="00000000">
      <w:pPr>
        <w:pStyle w:val="Heading4"/>
        <w:rPr>
          <w:rFonts w:ascii="Times New Roman" w:hAnsi="Times New Roman" w:cs="Times New Roman"/>
          <w:b/>
          <w:bCs/>
          <w:i w:val="0"/>
          <w:iCs w:val="0"/>
          <w:color w:val="000000" w:themeColor="text1"/>
        </w:rPr>
      </w:pPr>
      <w:bookmarkStart w:id="6" w:name="feature-preparation"/>
      <w:bookmarkEnd w:id="5"/>
      <w:r w:rsidRPr="007F5990">
        <w:rPr>
          <w:rFonts w:ascii="Times New Roman" w:hAnsi="Times New Roman" w:cs="Times New Roman"/>
          <w:b/>
          <w:bCs/>
          <w:i w:val="0"/>
          <w:iCs w:val="0"/>
          <w:color w:val="000000" w:themeColor="text1"/>
        </w:rPr>
        <w:t>3.2 Feature Preparation</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Numerical and categorical variables were handled separately. Missing values were imputed using median values for numerical features and the most frequent category for categorical features. Categorical variables were encoded using one-hot encoding to enable use within a logistic regression framework.</w:t>
      </w:r>
    </w:p>
    <w:p w:rsidR="008A3B9B" w:rsidRPr="007F5990" w:rsidRDefault="00000000">
      <w:pPr>
        <w:pStyle w:val="Heading4"/>
        <w:rPr>
          <w:rFonts w:ascii="Times New Roman" w:hAnsi="Times New Roman" w:cs="Times New Roman"/>
          <w:b/>
          <w:bCs/>
          <w:i w:val="0"/>
          <w:iCs w:val="0"/>
          <w:color w:val="000000" w:themeColor="text1"/>
        </w:rPr>
      </w:pPr>
      <w:bookmarkStart w:id="7" w:name="model-selection"/>
      <w:bookmarkEnd w:id="6"/>
      <w:r w:rsidRPr="007F5990">
        <w:rPr>
          <w:rFonts w:ascii="Times New Roman" w:hAnsi="Times New Roman" w:cs="Times New Roman"/>
          <w:b/>
          <w:bCs/>
          <w:i w:val="0"/>
          <w:iCs w:val="0"/>
          <w:color w:val="000000" w:themeColor="text1"/>
        </w:rPr>
        <w:t>3.3 Model Selection</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 xml:space="preserve">Logistic Regression was selected as the primary modelling approach. In regulated banking environments, model interpretability, transparency, and auditability </w:t>
      </w:r>
      <w:proofErr w:type="gramStart"/>
      <w:r w:rsidRPr="007F5990">
        <w:rPr>
          <w:rFonts w:ascii="Times New Roman" w:hAnsi="Times New Roman" w:cs="Times New Roman"/>
          <w:color w:val="000000" w:themeColor="text1"/>
        </w:rPr>
        <w:t>are</w:t>
      </w:r>
      <w:proofErr w:type="gramEnd"/>
      <w:r w:rsidRPr="007F5990">
        <w:rPr>
          <w:rFonts w:ascii="Times New Roman" w:hAnsi="Times New Roman" w:cs="Times New Roman"/>
          <w:color w:val="000000" w:themeColor="text1"/>
        </w:rPr>
        <w:t xml:space="preserve"> critical. Logistic Regression provides clear insight into the relationship between borrower characteristics and default risk, making it suitable for governance and regulatory review.</w:t>
      </w:r>
    </w:p>
    <w:p w:rsidR="008A3B9B" w:rsidRPr="007F5990" w:rsidRDefault="008A3B9B">
      <w:pPr>
        <w:rPr>
          <w:rFonts w:ascii="Times New Roman" w:hAnsi="Times New Roman" w:cs="Times New Roman"/>
          <w:color w:val="000000" w:themeColor="text1"/>
        </w:rPr>
      </w:pPr>
    </w:p>
    <w:p w:rsidR="008A3B9B" w:rsidRPr="007F5990" w:rsidRDefault="00000000">
      <w:pPr>
        <w:pStyle w:val="Heading3"/>
        <w:rPr>
          <w:rFonts w:ascii="Times New Roman" w:hAnsi="Times New Roman" w:cs="Times New Roman"/>
          <w:b/>
          <w:bCs/>
          <w:color w:val="000000" w:themeColor="text1"/>
        </w:rPr>
      </w:pPr>
      <w:bookmarkStart w:id="8" w:name="model-performance"/>
      <w:bookmarkEnd w:id="4"/>
      <w:bookmarkEnd w:id="7"/>
      <w:r w:rsidRPr="007F5990">
        <w:rPr>
          <w:rFonts w:ascii="Times New Roman" w:hAnsi="Times New Roman" w:cs="Times New Roman"/>
          <w:b/>
          <w:bCs/>
          <w:color w:val="000000" w:themeColor="text1"/>
        </w:rPr>
        <w:t>4. Model Performance</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Model performance was evaluated using the Receiver Operating Characteristic Area Under the Curve (ROC-AUC), which measures the model’s ability to distinguish between defaulting and non-defaulting borrowers.</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In addition, a confusion matrix was used to examine the types of classification errors produced by the model. Particular attention was paid to false negatives, as these represent customers who are approved for credit but later default, resulting in direct financial loss.</w:t>
      </w:r>
    </w:p>
    <w:p w:rsidR="008A3B9B" w:rsidRPr="007F5990" w:rsidRDefault="008A3B9B">
      <w:pPr>
        <w:rPr>
          <w:rFonts w:ascii="Times New Roman" w:hAnsi="Times New Roman" w:cs="Times New Roman"/>
          <w:color w:val="000000" w:themeColor="text1"/>
        </w:rPr>
      </w:pPr>
    </w:p>
    <w:p w:rsidR="008A3B9B" w:rsidRPr="007F5990" w:rsidRDefault="00000000">
      <w:pPr>
        <w:pStyle w:val="Heading3"/>
        <w:rPr>
          <w:rFonts w:ascii="Times New Roman" w:hAnsi="Times New Roman" w:cs="Times New Roman"/>
          <w:b/>
          <w:bCs/>
          <w:color w:val="000000" w:themeColor="text1"/>
        </w:rPr>
      </w:pPr>
      <w:bookmarkStart w:id="9" w:name="threshold-selection-and-risk-appetite"/>
      <w:bookmarkEnd w:id="8"/>
      <w:r w:rsidRPr="007F5990">
        <w:rPr>
          <w:rFonts w:ascii="Times New Roman" w:hAnsi="Times New Roman" w:cs="Times New Roman"/>
          <w:b/>
          <w:bCs/>
          <w:color w:val="000000" w:themeColor="text1"/>
        </w:rPr>
        <w:t>5. Threshold Selection and Risk Appetite</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Rather than using the default probability threshold of 0.5, decision thresholds were selected based on a defined risk appetite. Accuracy alone treats all errors equally, which is inappropriate in credit risk where different errors have different financial consequences.</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A PD threshold of approximately 18% was selected for automatic approval, as this level kept the default rate among approved customers within acceptable limits while maintaining a reasonable acceptance rate. Applications with PDs between 18% and 28% were assigned to a manual review band, allowing for additional checks or tighter lending terms. Applications with PDs above 28% were declined.</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This three-tier decision structure reflects how retail banks manage uncertainty and control portfolio risk.</w:t>
      </w:r>
    </w:p>
    <w:p w:rsidR="008A3B9B" w:rsidRPr="007F5990" w:rsidRDefault="008A3B9B">
      <w:pPr>
        <w:rPr>
          <w:rFonts w:ascii="Times New Roman" w:hAnsi="Times New Roman" w:cs="Times New Roman"/>
          <w:color w:val="000000" w:themeColor="text1"/>
        </w:rPr>
      </w:pPr>
    </w:p>
    <w:p w:rsidR="008A3B9B" w:rsidRPr="007F5990" w:rsidRDefault="00000000">
      <w:pPr>
        <w:pStyle w:val="Heading3"/>
        <w:rPr>
          <w:rFonts w:ascii="Times New Roman" w:hAnsi="Times New Roman" w:cs="Times New Roman"/>
          <w:b/>
          <w:bCs/>
          <w:color w:val="000000" w:themeColor="text1"/>
        </w:rPr>
      </w:pPr>
      <w:bookmarkStart w:id="10" w:name="business-interpretation"/>
      <w:bookmarkEnd w:id="9"/>
      <w:r w:rsidRPr="007F5990">
        <w:rPr>
          <w:rFonts w:ascii="Times New Roman" w:hAnsi="Times New Roman" w:cs="Times New Roman"/>
          <w:b/>
          <w:bCs/>
          <w:color w:val="000000" w:themeColor="text1"/>
        </w:rPr>
        <w:t>6. Business Interpretation</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The results demonstrate that risk appetite plays a more important role than raw model accuracy in credit decisioning. By adjusting decision thresholds, the bank can tighten or loosen lending policy depending on economic conditions, strategic priorities, or regulatory expectations.</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Segment-level analysis further supports risk management by identifying borrower characteristics associated with higher default risk, enabling targeted policy adjustments rather than blanket tightening.</w:t>
      </w:r>
    </w:p>
    <w:p w:rsidR="008A3B9B" w:rsidRPr="007F5990" w:rsidRDefault="008A3B9B">
      <w:pPr>
        <w:rPr>
          <w:rFonts w:ascii="Times New Roman" w:hAnsi="Times New Roman" w:cs="Times New Roman"/>
          <w:b/>
          <w:bCs/>
          <w:color w:val="000000" w:themeColor="text1"/>
        </w:rPr>
      </w:pPr>
    </w:p>
    <w:p w:rsidR="008A3B9B" w:rsidRPr="007F5990" w:rsidRDefault="00000000">
      <w:pPr>
        <w:pStyle w:val="Heading3"/>
        <w:rPr>
          <w:rFonts w:ascii="Times New Roman" w:hAnsi="Times New Roman" w:cs="Times New Roman"/>
          <w:b/>
          <w:bCs/>
          <w:color w:val="000000" w:themeColor="text1"/>
        </w:rPr>
      </w:pPr>
      <w:bookmarkStart w:id="11" w:name="limitations-and-future-enhancements"/>
      <w:bookmarkEnd w:id="10"/>
      <w:r w:rsidRPr="007F5990">
        <w:rPr>
          <w:rFonts w:ascii="Times New Roman" w:hAnsi="Times New Roman" w:cs="Times New Roman"/>
          <w:b/>
          <w:bCs/>
          <w:color w:val="000000" w:themeColor="text1"/>
        </w:rPr>
        <w:t>7. Limitations and Future Enhancements</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This analysis is based on a relatively small, publicly available dataset and does not incorporate Loss Given Default or Exposure at Default modelling. In a real banking environment, these components would be required to estimate expected loss accurately.</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Future work could include probability calibration, stress testing under adverse economic scenarios, and fairness analysis to ensure compliance with responsible lending standards.</w:t>
      </w:r>
    </w:p>
    <w:p w:rsidR="008A3B9B" w:rsidRPr="007F5990" w:rsidRDefault="008A3B9B">
      <w:pPr>
        <w:rPr>
          <w:rFonts w:ascii="Times New Roman" w:hAnsi="Times New Roman" w:cs="Times New Roman"/>
          <w:color w:val="000000" w:themeColor="text1"/>
        </w:rPr>
      </w:pPr>
    </w:p>
    <w:p w:rsidR="008A3B9B" w:rsidRPr="007F5990" w:rsidRDefault="00000000">
      <w:pPr>
        <w:pStyle w:val="Heading3"/>
        <w:rPr>
          <w:rFonts w:ascii="Times New Roman" w:hAnsi="Times New Roman" w:cs="Times New Roman"/>
          <w:b/>
          <w:bCs/>
          <w:color w:val="000000" w:themeColor="text1"/>
        </w:rPr>
      </w:pPr>
      <w:bookmarkStart w:id="12" w:name="conclusion"/>
      <w:bookmarkEnd w:id="11"/>
      <w:r w:rsidRPr="007F5990">
        <w:rPr>
          <w:rFonts w:ascii="Times New Roman" w:hAnsi="Times New Roman" w:cs="Times New Roman"/>
          <w:b/>
          <w:bCs/>
          <w:color w:val="000000" w:themeColor="text1"/>
        </w:rPr>
        <w:t>8. Conclusion</w:t>
      </w:r>
    </w:p>
    <w:p w:rsidR="008A3B9B" w:rsidRPr="007F5990" w:rsidRDefault="00000000">
      <w:pPr>
        <w:pStyle w:val="FirstParagraph"/>
        <w:rPr>
          <w:rFonts w:ascii="Times New Roman" w:hAnsi="Times New Roman" w:cs="Times New Roman"/>
          <w:color w:val="000000" w:themeColor="text1"/>
        </w:rPr>
      </w:pPr>
      <w:r w:rsidRPr="007F5990">
        <w:rPr>
          <w:rFonts w:ascii="Times New Roman" w:hAnsi="Times New Roman" w:cs="Times New Roman"/>
          <w:color w:val="000000" w:themeColor="text1"/>
        </w:rPr>
        <w:t>This project demonstrates a practical approach to retail credit risk analysis, emphasising how predictive models support decision-making rather than replace it. By integrating Probability of Default estimates with a clearly defined risk appetite, banks can make consistent, transparent, and economically sound lending decisions.</w:t>
      </w:r>
    </w:p>
    <w:p w:rsidR="008A3B9B" w:rsidRPr="007F5990" w:rsidRDefault="00000000">
      <w:pPr>
        <w:pStyle w:val="BodyText"/>
        <w:rPr>
          <w:rFonts w:ascii="Times New Roman" w:hAnsi="Times New Roman" w:cs="Times New Roman"/>
          <w:color w:val="000000" w:themeColor="text1"/>
        </w:rPr>
      </w:pPr>
      <w:r w:rsidRPr="007F5990">
        <w:rPr>
          <w:rFonts w:ascii="Times New Roman" w:hAnsi="Times New Roman" w:cs="Times New Roman"/>
          <w:color w:val="000000" w:themeColor="text1"/>
        </w:rPr>
        <w:t>The framework presented reflects how credit risk analytics is applied in real-world banking environments and highlights the importance of governance, interpretability, and business judgement in risk management.</w:t>
      </w:r>
      <w:bookmarkEnd w:id="0"/>
      <w:bookmarkEnd w:id="1"/>
      <w:bookmarkEnd w:id="12"/>
    </w:p>
    <w:sectPr w:rsidR="008A3B9B" w:rsidRPr="007F599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1464B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2100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A3B9B"/>
    <w:rsid w:val="007F5990"/>
    <w:rsid w:val="008A3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07935B-5928-3746-BAAC-D2FB1BAA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2</cp:revision>
  <dcterms:created xsi:type="dcterms:W3CDTF">2026-02-02T18:15:00Z</dcterms:created>
  <dcterms:modified xsi:type="dcterms:W3CDTF">2026-02-02T18:23:00Z</dcterms:modified>
</cp:coreProperties>
</file>