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7077ABF7" w14:textId="6490D2FE" w:rsidR="009E7669" w:rsidRDefault="009E7669">
      <w:pPr>
        <w:pStyle w:val="ListParagraph"/>
        <w:numPr>
          <w:ilvl w:val="0"/>
          <w:numId w:val="4"/>
        </w:numPr>
      </w:pPr>
      <w:r>
        <w:t>Foundational Hygeine</w:t>
      </w:r>
    </w:p>
    <w:p w14:paraId="1B1F01CB" w14:textId="7D25E263" w:rsidR="009E7669" w:rsidRDefault="009E7669">
      <w:pPr>
        <w:pStyle w:val="ListParagraph"/>
        <w:numPr>
          <w:ilvl w:val="0"/>
          <w:numId w:val="4"/>
        </w:numPr>
      </w:pPr>
      <w:r>
        <w:t>Active Managed Defence</w:t>
      </w:r>
    </w:p>
    <w:p w14:paraId="2DE4E529" w14:textId="68F5CFAA" w:rsidR="009E7669" w:rsidRDefault="009E7669">
      <w:pPr>
        <w:pStyle w:val="ListParagraph"/>
        <w:numPr>
          <w:ilvl w:val="0"/>
          <w:numId w:val="4"/>
        </w:numPr>
      </w:pPr>
      <w:r>
        <w:t>Adaptive Governance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lastRenderedPageBreak/>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6609BCAC" w14:textId="77777777" w:rsidR="001E3AE4" w:rsidRDefault="001E3AE4" w:rsidP="001E3AE4">
      <w:r>
        <w:t>12-Month Success Metrics:</w:t>
      </w:r>
    </w:p>
    <w:p w14:paraId="1E98001B" w14:textId="77777777" w:rsidR="001E3AE4" w:rsidRDefault="001E3AE4" w:rsidP="001E3AE4">
      <w:r>
        <w:t>{% for metric in success_metrics %}• {{ metric }}</w:t>
      </w:r>
    </w:p>
    <w:p w14:paraId="4848DBAF" w14:textId="77777777" w:rsidR="001E3AE4" w:rsidRDefault="001E3AE4" w:rsidP="001E3AE4">
      <w:r>
        <w:t>{% endfor %}</w:t>
      </w:r>
    </w:p>
    <w:p w14:paraId="2E20942E" w14:textId="77777777" w:rsidR="001E3AE4" w:rsidRDefault="001E3AE4" w:rsidP="001E3AE4"/>
    <w:p w14:paraId="32E166C1" w14:textId="77777777" w:rsidR="001E3AE4" w:rsidRDefault="001E3AE4" w:rsidP="001E3AE4">
      <w:r>
        <w:t>Ongoing Engagement Cadence:</w:t>
      </w:r>
    </w:p>
    <w:p w14:paraId="0C2FBCE1" w14:textId="77777777" w:rsidR="001E3AE4" w:rsidRDefault="001E3AE4" w:rsidP="001E3AE4">
      <w:r>
        <w:t>{% for cadence in engagement_cadence %}• {{ cadence }}</w:t>
      </w:r>
    </w:p>
    <w:p w14:paraId="1C693327" w14:textId="1AFE80EB" w:rsidR="001E3AE4" w:rsidRPr="001E3AE4" w:rsidRDefault="001E3AE4" w:rsidP="001E3AE4">
      <w:pPr>
        <w:rPr>
          <w:rStyle w:val="HTMLCode"/>
          <w:rFonts w:ascii="Roboto" w:eastAsiaTheme="minorHAnsi" w:hAnsi="Roboto" w:cstheme="minorBidi"/>
          <w:szCs w:val="24"/>
        </w:rPr>
      </w:pPr>
      <w:r>
        <w:t>{% endfor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992812" w14:textId="77777777" w:rsidR="00A6737D" w:rsidRDefault="00A6737D" w:rsidP="00B6182B">
      <w:r>
        <w:separator/>
      </w:r>
    </w:p>
  </w:endnote>
  <w:endnote w:type="continuationSeparator" w:id="0">
    <w:p w14:paraId="6155AF59" w14:textId="77777777" w:rsidR="00A6737D" w:rsidRDefault="00A6737D" w:rsidP="00B6182B">
      <w:r>
        <w:continuationSeparator/>
      </w:r>
    </w:p>
  </w:endnote>
  <w:endnote w:type="continuationNotice" w:id="1">
    <w:p w14:paraId="1AD096D7" w14:textId="77777777" w:rsidR="00A6737D" w:rsidRDefault="00A6737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BEB2E" w14:textId="77777777" w:rsidR="00A6737D" w:rsidRDefault="00A6737D" w:rsidP="00B6182B">
      <w:r>
        <w:separator/>
      </w:r>
    </w:p>
  </w:footnote>
  <w:footnote w:type="continuationSeparator" w:id="0">
    <w:p w14:paraId="5E45B2D7" w14:textId="77777777" w:rsidR="00A6737D" w:rsidRDefault="00A6737D" w:rsidP="00B6182B">
      <w:r>
        <w:continuationSeparator/>
      </w:r>
    </w:p>
  </w:footnote>
  <w:footnote w:type="continuationNotice" w:id="1">
    <w:p w14:paraId="74EAE58B" w14:textId="77777777" w:rsidR="00A6737D" w:rsidRDefault="00A6737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37D"/>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11</Pages>
  <Words>1468</Words>
  <Characters>8370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9819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37</cp:revision>
  <cp:lastPrinted>2022-09-06T11:26:00Z</cp:lastPrinted>
  <dcterms:created xsi:type="dcterms:W3CDTF">2026-06-04T10:26:00Z</dcterms:created>
  <dcterms:modified xsi:type="dcterms:W3CDTF">2026-06-24T09:43:00Z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