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F23FE8" w14:textId="70B68F96" w:rsidR="00000000" w:rsidRPr="00F54F30" w:rsidRDefault="001860FA" w:rsidP="001860FA">
      <w:pPr>
        <w:pStyle w:val="Title"/>
        <w:shd w:val="clear" w:color="auto" w:fill="00516B"/>
        <w:jc w:val="center"/>
        <w:rPr>
          <w:color w:val="0F4761"/>
        </w:rPr>
      </w:pPr>
      <w:r>
        <w:rPr>
          <w:b/>
          <w:bCs/>
          <w:color w:val="FFFFFF"/>
        </w:rPr>
        <w:t>EXECUTIVE SECURITY PRIORITIES SNAPSHOT</w:t>
      </w:r>
    </w:p>
    <w:p w14:paraId="5290C9D1" w14:textId="2090E086" w:rsidR="00000000" w:rsidRDefault="005460C7">
      <w:pPr>
        <w:pStyle w:val="Subtitle"/>
        <w:pBdr>
          <w:top w:val="single" w:sz="2" w:space="0" w:color="F7D117"/>
          <w:left w:val="single" w:sz="2" w:space="0" w:color="F7D117"/>
          <w:bottom w:val="single" w:sz="24" w:space="0" w:color="F7D117"/>
          <w:right w:val="single" w:sz="2" w:space="0" w:color="F7D117"/>
        </w:pBdr>
        <w:jc w:val="center"/>
        <w:rPr>
          <w:kern w:val="0"/>
          <w:sz w:val="24"/>
          <w:szCs w:val="24"/>
          <w:lang w:eastAsia="en-GB"/>
          <w14:ligatures w14:val="none"/>
        </w:rPr>
      </w:pPr>
      <w:r>
        <w:rPr>
          <w:color w:val="00516B"/>
        </w:rPr>
        <w:t>Board-level summary template aligned to the full Cybersecurity Maturity Assessment report.</w:t>
      </w:r>
    </w:p>
    <w:tbl>
      <w:tblPr>
        <w:tblStyle w:val="GridTable4-Accent1"/>
        <w:tblW w:w="5000" w:type="pct"/>
        <w:tblLook w:val="04A0" w:firstRow="1" w:lastRow="0" w:firstColumn="1" w:lastColumn="0" w:noHBand="0" w:noVBand="1"/>
      </w:tblPr>
      <w:tblGrid>
        <w:gridCol w:w="884"/>
        <w:gridCol w:w="1657"/>
        <w:gridCol w:w="925"/>
        <w:gridCol w:w="2959"/>
        <w:gridCol w:w="1455"/>
        <w:gridCol w:w="1136"/>
      </w:tblGrid>
      <w:tr w:rsidR="00DE78F9" w14:paraId="5BA0D2C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516B"/>
            <w:hideMark/>
          </w:tcPr>
          <w:p w14:paraId="1BD28D36" w14:textId="77777777" w:rsidR="00DE78F9" w:rsidRDefault="00DE78F9">
            <w:pPr>
              <w:spacing w:after="160"/>
              <w:rPr>
                <w:color w:val="FFFFFF"/>
                <w:kern w:val="0"/>
                <w:sz w:val="16"/>
                <w:szCs w:val="16"/>
                <w:lang w:eastAsia="en-GB"/>
                <w14:ligatures w14:val="none"/>
              </w:rPr>
            </w:pPr>
            <w:r>
              <w:rPr>
                <w:color w:val="FFFFFF"/>
                <w:sz w:val="16"/>
                <w:szCs w:val="16"/>
              </w:rPr>
              <w:t>Client</w:t>
            </w:r>
          </w:p>
        </w:tc>
        <w:tc>
          <w:tcPr>
            <w:tcW w:w="0" w:type="auto"/>
            <w:hideMark/>
          </w:tcPr>
          <w:p w14:paraId="77801ADE"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[Client Name]</w:t>
            </w:r>
          </w:p>
        </w:tc>
        <w:tc>
          <w:tcPr>
            <w:tcW w:w="0" w:type="auto"/>
            <w:shd w:val="clear" w:color="auto" w:fill="00516B"/>
            <w:hideMark/>
          </w:tcPr>
          <w:p w14:paraId="0893B714"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6"/>
                <w:szCs w:val="16"/>
              </w:rPr>
            </w:pPr>
            <w:r>
              <w:rPr>
                <w:color w:val="FFFFFF"/>
                <w:sz w:val="16"/>
                <w:szCs w:val="16"/>
              </w:rPr>
              <w:t>Status</w:t>
            </w:r>
          </w:p>
        </w:tc>
        <w:tc>
          <w:tcPr>
            <w:tcW w:w="0" w:type="auto"/>
            <w:hideMark/>
          </w:tcPr>
          <w:p w14:paraId="25E33A7B"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Executive Summary Extract</w:t>
            </w:r>
          </w:p>
        </w:tc>
        <w:tc>
          <w:tcPr>
            <w:tcW w:w="0" w:type="auto"/>
            <w:shd w:val="clear" w:color="auto" w:fill="00516B"/>
            <w:hideMark/>
          </w:tcPr>
          <w:p w14:paraId="19474DB6"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6"/>
                <w:szCs w:val="16"/>
              </w:rPr>
            </w:pPr>
            <w:r>
              <w:rPr>
                <w:color w:val="FFFFFF"/>
                <w:sz w:val="16"/>
                <w:szCs w:val="16"/>
              </w:rPr>
              <w:t>Prepared by</w:t>
            </w:r>
          </w:p>
        </w:tc>
        <w:tc>
          <w:tcPr>
            <w:tcW w:w="0" w:type="auto"/>
            <w:hideMark/>
          </w:tcPr>
          <w:p w14:paraId="5F7D0E77"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Planet IT</w:t>
            </w:r>
          </w:p>
        </w:tc>
      </w:tr>
    </w:tbl>
    <w:p w14:paraId="7A10188C" w14:textId="77777777" w:rsidR="00DE78F9" w:rsidRDefault="00DE78F9">
      <w:pPr>
        <w:rPr>
          <w:kern w:val="0"/>
          <w:lang w:eastAsia="en-GB"/>
          <w14:ligatures w14:val="none"/>
        </w:rPr>
      </w:pPr>
    </w:p>
    <w:p w14:paraId="411E7A7F" w14:textId="77777777" w:rsidR="00F54F30" w:rsidRDefault="00F54F30">
      <w:pPr>
        <w:pStyle w:val="Heading1"/>
        <w:rPr>
          <w:rFonts w:asciiTheme="minorHAnsi" w:hAnsiTheme="minorHAnsi" w:cstheme="minorBidi"/>
          <w:kern w:val="36"/>
          <w:sz w:val="48"/>
          <w:szCs w:val="48"/>
          <w:lang w:eastAsia="en-GB"/>
          <w14:ligatures w14:val="none"/>
        </w:rPr>
      </w:pPr>
      <w:r>
        <w:rPr>
          <w:rFonts w:asciiTheme="minorHAnsi" w:hAnsiTheme="minorHAnsi" w:cstheme="minorBidi"/>
        </w:rPr>
        <w:t>Executive Summary</w:t>
      </w:r>
    </w:p>
    <w:p w14:paraId="340D777C" w14:textId="65FBF41A" w:rsidR="00000000" w:rsidRDefault="00000000">
      <w:pPr>
        <w:pBdr>
          <w:top w:val="single" w:sz="8" w:space="0" w:color="0F4761"/>
          <w:left w:val="single" w:sz="8" w:space="0" w:color="0F4761"/>
          <w:bottom w:val="single" w:sz="8" w:space="0" w:color="0F4761"/>
          <w:right w:val="single" w:sz="8" w:space="0" w:color="0F4761"/>
        </w:pBdr>
        <w:shd w:val="clear" w:color="auto" w:fill="EAF3F8"/>
        <w:rPr>
          <w:kern w:val="0"/>
          <w:lang w:eastAsia="en-GB"/>
          <w14:ligatures w14:val="none"/>
        </w:rPr>
      </w:pPr>
      <w:r>
        <w:rPr>
          <w:color w:val="000000"/>
          <w:sz w:val="20"/>
          <w:szCs w:val="20"/>
        </w:rPr>
        <w:t xml:space="preserve">The assessment shows a stable security foundation, but three risks </w:t>
      </w:r>
      <w:r w:rsidR="00A84A71">
        <w:rPr>
          <w:color w:val="000000"/>
          <w:sz w:val="20"/>
          <w:szCs w:val="20"/>
        </w:rPr>
        <w:t xml:space="preserve">now </w:t>
      </w:r>
      <w:r>
        <w:rPr>
          <w:color w:val="000000"/>
          <w:sz w:val="20"/>
          <w:szCs w:val="20"/>
        </w:rPr>
        <w:t xml:space="preserve">require </w:t>
      </w:r>
      <w:r w:rsidR="00A84A71">
        <w:rPr>
          <w:color w:val="000000"/>
          <w:sz w:val="20"/>
          <w:szCs w:val="20"/>
        </w:rPr>
        <w:t xml:space="preserve">decisive </w:t>
      </w:r>
      <w:r>
        <w:rPr>
          <w:color w:val="000000"/>
          <w:sz w:val="20"/>
          <w:szCs w:val="20"/>
        </w:rPr>
        <w:t xml:space="preserve">executive </w:t>
      </w:r>
      <w:r w:rsidR="00A84A71">
        <w:rPr>
          <w:color w:val="000000"/>
          <w:sz w:val="20"/>
          <w:szCs w:val="20"/>
        </w:rPr>
        <w:t>action</w:t>
      </w:r>
      <w:r>
        <w:rPr>
          <w:color w:val="000000"/>
          <w:sz w:val="20"/>
          <w:szCs w:val="20"/>
        </w:rPr>
        <w:t xml:space="preserve">: Microsoft 365 recovery resilience, phishing-led identity compromise, and incident response readiness. </w:t>
      </w:r>
      <w:r w:rsidR="00A84A71">
        <w:rPr>
          <w:color w:val="000000"/>
          <w:sz w:val="20"/>
          <w:szCs w:val="20"/>
        </w:rPr>
        <w:t>These are not cosmetic improvements; left unchanged, they create avoidable exposure to operational disruption, data recovery uncertainty and slower containment during a material incident. Focused investment in these areas is required to reduce business risk, improve assurance and give leadership confidence that the organisation can recover quickly and evidence control under pressure.</w:t>
      </w:r>
    </w:p>
    <w:p w14:paraId="2AD86C58" w14:textId="77777777" w:rsidR="00A84A71" w:rsidRDefault="00A84A71">
      <w:pPr>
        <w:pBdr>
          <w:top w:val="single" w:sz="8" w:space="0" w:color="C00000"/>
          <w:left w:val="single" w:sz="8" w:space="0" w:color="C00000"/>
          <w:bottom w:val="single" w:sz="8" w:space="0" w:color="C00000"/>
          <w:right w:val="single" w:sz="8" w:space="0" w:color="C00000"/>
        </w:pBdr>
        <w:shd w:val="clear" w:color="auto" w:fill="FCE4D6"/>
        <w:rPr>
          <w:color w:val="000000"/>
          <w:kern w:val="0"/>
          <w:sz w:val="18"/>
          <w:szCs w:val="18"/>
          <w:lang w:eastAsia="en-GB"/>
          <w14:ligatures w14:val="none"/>
        </w:rPr>
      </w:pPr>
      <w:r>
        <w:rPr>
          <w:b/>
          <w:bCs/>
          <w:color w:val="000000"/>
          <w:sz w:val="18"/>
          <w:szCs w:val="18"/>
        </w:rPr>
        <w:t>Executive decision required:</w:t>
      </w:r>
      <w:r>
        <w:rPr>
          <w:color w:val="000000"/>
          <w:sz w:val="18"/>
          <w:szCs w:val="18"/>
        </w:rPr>
        <w:t xml:space="preserve"> approve immediate remediation planning and funding for the three priority risks. Delaying action leaves a known exposure in recovery, compromise detection and incident response capability.</w:t>
      </w:r>
    </w:p>
    <w:p w14:paraId="32BEEC8C" w14:textId="4868D392" w:rsidR="00000000" w:rsidRDefault="00726E02" w:rsidP="00726E02">
      <w:pPr>
        <w:pStyle w:val="Heading1"/>
        <w:rPr>
          <w:rFonts w:asciiTheme="minorHAnsi" w:hAnsiTheme="minorHAnsi" w:cstheme="minorBidi"/>
          <w:kern w:val="36"/>
          <w:sz w:val="48"/>
          <w:szCs w:val="48"/>
          <w:lang w:eastAsia="en-GB"/>
          <w14:ligatures w14:val="none"/>
        </w:rPr>
      </w:pPr>
      <w:r>
        <w:rPr>
          <w:rFonts w:cstheme="minorBidi"/>
        </w:rPr>
        <w:t>Top Three Risks: RAG Prioritisation</w:t>
      </w:r>
    </w:p>
    <w:tbl>
      <w:tblPr>
        <w:tblStyle w:val="GridTable4-Accent1"/>
        <w:tblW w:w="5000" w:type="pct"/>
        <w:tblLook w:val="04A0" w:firstRow="1" w:lastRow="0" w:firstColumn="1" w:lastColumn="0" w:noHBand="0" w:noVBand="1"/>
      </w:tblPr>
      <w:tblGrid>
        <w:gridCol w:w="806"/>
        <w:gridCol w:w="788"/>
        <w:gridCol w:w="1485"/>
        <w:gridCol w:w="3270"/>
        <w:gridCol w:w="2667"/>
      </w:tblGrid>
      <w:tr w:rsidR="00DE78F9" w14:paraId="5CBB65DD" w14:textId="77777777" w:rsidTr="00DE7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637B" w14:textId="77777777" w:rsidR="00DE78F9" w:rsidRDefault="00DE78F9">
            <w:pPr>
              <w:spacing w:after="160"/>
              <w:rPr>
                <w:color w:val="FFFFFF"/>
                <w:kern w:val="0"/>
                <w:sz w:val="18"/>
                <w:szCs w:val="18"/>
                <w:lang w:eastAsia="en-GB"/>
                <w14:ligatures w14:val="none"/>
              </w:rPr>
            </w:pPr>
            <w:r>
              <w:rPr>
                <w:color w:val="FFFFFF"/>
                <w:sz w:val="18"/>
                <w:szCs w:val="18"/>
              </w:rPr>
              <w:t>RAG</w:t>
            </w:r>
          </w:p>
        </w:tc>
        <w:tc>
          <w:tcPr>
            <w:tcW w:w="0" w:type="auto"/>
            <w:hideMark/>
          </w:tcPr>
          <w:p w14:paraId="5E5035EE"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Weight</w:t>
            </w:r>
          </w:p>
        </w:tc>
        <w:tc>
          <w:tcPr>
            <w:tcW w:w="0" w:type="auto"/>
            <w:hideMark/>
          </w:tcPr>
          <w:p w14:paraId="4631D9E8"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Risk</w:t>
            </w:r>
          </w:p>
        </w:tc>
        <w:tc>
          <w:tcPr>
            <w:tcW w:w="0" w:type="auto"/>
            <w:hideMark/>
          </w:tcPr>
          <w:p w14:paraId="01816916"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Current Position / Impact</w:t>
            </w:r>
          </w:p>
        </w:tc>
        <w:tc>
          <w:tcPr>
            <w:tcW w:w="0" w:type="auto"/>
            <w:hideMark/>
          </w:tcPr>
          <w:p w14:paraId="5CA90F43" w14:textId="77777777" w:rsidR="00DE78F9" w:rsidRDefault="00DE78F9">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Recommended Solution</w:t>
            </w:r>
          </w:p>
        </w:tc>
      </w:tr>
      <w:tr w:rsidR="00DE78F9" w14:paraId="64DB06B2" w14:textId="77777777" w:rsidTr="00DE7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FC380" w14:textId="77777777" w:rsidR="00DE78F9" w:rsidRDefault="00DE78F9">
            <w:pPr>
              <w:spacing w:after="160"/>
              <w:jc w:val="center"/>
              <w:rPr>
                <w:color w:val="FFFFFF"/>
                <w:sz w:val="18"/>
                <w:szCs w:val="18"/>
              </w:rPr>
            </w:pPr>
            <w:r>
              <w:rPr>
                <w:color w:val="FFFFFF"/>
                <w:sz w:val="18"/>
                <w:szCs w:val="18"/>
              </w:rPr>
              <w:t>RED</w:t>
            </w:r>
          </w:p>
        </w:tc>
        <w:tc>
          <w:tcPr>
            <w:tcW w:w="0" w:type="auto"/>
            <w:hideMark/>
          </w:tcPr>
          <w:p w14:paraId="553BD4C6" w14:textId="77777777" w:rsidR="00DE78F9" w:rsidRDefault="00DE78F9">
            <w:pPr>
              <w:spacing w:after="160"/>
              <w:jc w:val="center"/>
              <w:cnfStyle w:val="000000100000" w:firstRow="0" w:lastRow="0" w:firstColumn="0" w:lastColumn="0" w:oddVBand="0" w:evenVBand="0" w:oddHBand="1" w:evenHBand="0" w:firstRowFirstColumn="0" w:firstRowLastColumn="0" w:lastRowFirstColumn="0" w:lastRowLastColumn="0"/>
              <w:rPr>
                <w:sz w:val="18"/>
                <w:szCs w:val="18"/>
              </w:rPr>
            </w:pPr>
            <w:r>
              <w:rPr>
                <w:b/>
                <w:bCs/>
                <w:sz w:val="18"/>
                <w:szCs w:val="18"/>
              </w:rPr>
              <w:t>40%</w:t>
            </w:r>
          </w:p>
        </w:tc>
        <w:tc>
          <w:tcPr>
            <w:tcW w:w="0" w:type="auto"/>
            <w:hideMark/>
          </w:tcPr>
          <w:p w14:paraId="735E9082"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b/>
                <w:bCs/>
                <w:sz w:val="18"/>
                <w:szCs w:val="18"/>
              </w:rPr>
              <w:t>Microsoft 365 backup and recovery</w:t>
            </w:r>
          </w:p>
        </w:tc>
        <w:tc>
          <w:tcPr>
            <w:tcW w:w="0" w:type="auto"/>
            <w:hideMark/>
          </w:tcPr>
          <w:p w14:paraId="0DDAD09A"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 dedicated Microsoft 365 backup is in place. Recovery depends on retention and versioning, creating critical exposure if email, Teams, SharePoint, OneDrive or Dynamics data is deleted, corrupted or encrypted.</w:t>
            </w:r>
          </w:p>
        </w:tc>
        <w:tc>
          <w:tcPr>
            <w:tcW w:w="0" w:type="auto"/>
            <w:hideMark/>
          </w:tcPr>
          <w:p w14:paraId="1E8163B6"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Define workload recovery requirements, agree RTO/RPO targets, evaluate Microsoft 365 backup options and test representative restores.</w:t>
            </w:r>
          </w:p>
        </w:tc>
      </w:tr>
      <w:tr w:rsidR="00DE78F9" w14:paraId="5C9174A7" w14:textId="77777777" w:rsidTr="00DE78F9">
        <w:tc>
          <w:tcPr>
            <w:cnfStyle w:val="001000000000" w:firstRow="0" w:lastRow="0" w:firstColumn="1" w:lastColumn="0" w:oddVBand="0" w:evenVBand="0" w:oddHBand="0" w:evenHBand="0" w:firstRowFirstColumn="0" w:firstRowLastColumn="0" w:lastRowFirstColumn="0" w:lastRowLastColumn="0"/>
            <w:tcW w:w="0" w:type="auto"/>
            <w:hideMark/>
          </w:tcPr>
          <w:p w14:paraId="419CC2BD" w14:textId="77777777" w:rsidR="00DE78F9" w:rsidRDefault="00DE78F9">
            <w:pPr>
              <w:spacing w:after="160"/>
              <w:jc w:val="center"/>
              <w:rPr>
                <w:color w:val="000000"/>
                <w:sz w:val="18"/>
                <w:szCs w:val="18"/>
              </w:rPr>
            </w:pPr>
            <w:r>
              <w:rPr>
                <w:color w:val="000000"/>
                <w:sz w:val="18"/>
                <w:szCs w:val="18"/>
              </w:rPr>
              <w:t>AMBER</w:t>
            </w:r>
          </w:p>
        </w:tc>
        <w:tc>
          <w:tcPr>
            <w:tcW w:w="0" w:type="auto"/>
            <w:hideMark/>
          </w:tcPr>
          <w:p w14:paraId="35E7B1F7" w14:textId="77777777" w:rsidR="00DE78F9" w:rsidRDefault="00DE78F9">
            <w:pPr>
              <w:spacing w:after="160"/>
              <w:jc w:val="center"/>
              <w:cnfStyle w:val="000000000000" w:firstRow="0" w:lastRow="0" w:firstColumn="0" w:lastColumn="0" w:oddVBand="0" w:evenVBand="0" w:oddHBand="0" w:evenHBand="0" w:firstRowFirstColumn="0" w:firstRowLastColumn="0" w:lastRowFirstColumn="0" w:lastRowLastColumn="0"/>
              <w:rPr>
                <w:sz w:val="18"/>
                <w:szCs w:val="18"/>
              </w:rPr>
            </w:pPr>
            <w:r>
              <w:rPr>
                <w:b/>
                <w:bCs/>
                <w:sz w:val="18"/>
                <w:szCs w:val="18"/>
              </w:rPr>
              <w:t>35%</w:t>
            </w:r>
          </w:p>
        </w:tc>
        <w:tc>
          <w:tcPr>
            <w:tcW w:w="0" w:type="auto"/>
            <w:hideMark/>
          </w:tcPr>
          <w:p w14:paraId="14A31A63" w14:textId="77777777" w:rsidR="00DE78F9" w:rsidRDefault="00DE78F9">
            <w:pPr>
              <w:spacing w:after="160"/>
              <w:cnfStyle w:val="000000000000" w:firstRow="0" w:lastRow="0" w:firstColumn="0" w:lastColumn="0" w:oddVBand="0" w:evenVBand="0" w:oddHBand="0" w:evenHBand="0" w:firstRowFirstColumn="0" w:firstRowLastColumn="0" w:lastRowFirstColumn="0" w:lastRowLastColumn="0"/>
              <w:rPr>
                <w:sz w:val="18"/>
                <w:szCs w:val="18"/>
              </w:rPr>
            </w:pPr>
            <w:r>
              <w:rPr>
                <w:b/>
                <w:bCs/>
                <w:sz w:val="18"/>
                <w:szCs w:val="18"/>
              </w:rPr>
              <w:t>Phishing and identity compromise</w:t>
            </w:r>
          </w:p>
        </w:tc>
        <w:tc>
          <w:tcPr>
            <w:tcW w:w="0" w:type="auto"/>
            <w:hideMark/>
          </w:tcPr>
          <w:p w14:paraId="503810A5" w14:textId="77777777" w:rsidR="00DE78F9" w:rsidRDefault="00DE78F9">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MFA and conditional access are progressing, but phishing emails are reaching </w:t>
            </w:r>
            <w:proofErr w:type="gramStart"/>
            <w:r>
              <w:rPr>
                <w:sz w:val="18"/>
                <w:szCs w:val="18"/>
              </w:rPr>
              <w:t>users</w:t>
            </w:r>
            <w:proofErr w:type="gramEnd"/>
            <w:r>
              <w:rPr>
                <w:sz w:val="18"/>
                <w:szCs w:val="18"/>
              </w:rPr>
              <w:t xml:space="preserve"> and some SaaS, OAuth and mailbox controls require further assurance.</w:t>
            </w:r>
          </w:p>
        </w:tc>
        <w:tc>
          <w:tcPr>
            <w:tcW w:w="0" w:type="auto"/>
            <w:hideMark/>
          </w:tcPr>
          <w:p w14:paraId="11E36B20" w14:textId="77777777" w:rsidR="00DE78F9" w:rsidRDefault="00DE78F9">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Review Defender settings, complete the MFA audit, strengthen OAuth/mailbox controls and compare email security options.</w:t>
            </w:r>
          </w:p>
        </w:tc>
      </w:tr>
      <w:tr w:rsidR="00DE78F9" w14:paraId="25624747" w14:textId="77777777" w:rsidTr="00DE7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351630" w14:textId="77777777" w:rsidR="00DE78F9" w:rsidRDefault="00DE78F9">
            <w:pPr>
              <w:spacing w:after="160"/>
              <w:jc w:val="center"/>
              <w:rPr>
                <w:color w:val="000000"/>
                <w:sz w:val="18"/>
                <w:szCs w:val="18"/>
              </w:rPr>
            </w:pPr>
            <w:r>
              <w:rPr>
                <w:color w:val="000000"/>
                <w:sz w:val="18"/>
                <w:szCs w:val="18"/>
              </w:rPr>
              <w:t>AMBER</w:t>
            </w:r>
          </w:p>
        </w:tc>
        <w:tc>
          <w:tcPr>
            <w:tcW w:w="0" w:type="auto"/>
            <w:hideMark/>
          </w:tcPr>
          <w:p w14:paraId="36A12261" w14:textId="77777777" w:rsidR="00DE78F9" w:rsidRDefault="00DE78F9">
            <w:pPr>
              <w:spacing w:after="160"/>
              <w:jc w:val="center"/>
              <w:cnfStyle w:val="000000100000" w:firstRow="0" w:lastRow="0" w:firstColumn="0" w:lastColumn="0" w:oddVBand="0" w:evenVBand="0" w:oddHBand="1" w:evenHBand="0" w:firstRowFirstColumn="0" w:firstRowLastColumn="0" w:lastRowFirstColumn="0" w:lastRowLastColumn="0"/>
              <w:rPr>
                <w:sz w:val="18"/>
                <w:szCs w:val="18"/>
              </w:rPr>
            </w:pPr>
            <w:r>
              <w:rPr>
                <w:b/>
                <w:bCs/>
                <w:sz w:val="18"/>
                <w:szCs w:val="18"/>
              </w:rPr>
              <w:t>25%</w:t>
            </w:r>
          </w:p>
        </w:tc>
        <w:tc>
          <w:tcPr>
            <w:tcW w:w="0" w:type="auto"/>
            <w:hideMark/>
          </w:tcPr>
          <w:p w14:paraId="5EB0AF24"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b/>
                <w:bCs/>
                <w:sz w:val="18"/>
                <w:szCs w:val="18"/>
              </w:rPr>
              <w:t>IR, DR and MDR readiness</w:t>
            </w:r>
          </w:p>
        </w:tc>
        <w:tc>
          <w:tcPr>
            <w:tcW w:w="0" w:type="auto"/>
            <w:hideMark/>
          </w:tcPr>
          <w:p w14:paraId="3B3BD1FE"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Response and recovery arrangements exist, but roles, escalation, supplier coordination and full recovery exercises are not yet consistently tested.</w:t>
            </w:r>
          </w:p>
        </w:tc>
        <w:tc>
          <w:tcPr>
            <w:tcW w:w="0" w:type="auto"/>
            <w:hideMark/>
          </w:tcPr>
          <w:p w14:paraId="00F3D5EB" w14:textId="77777777" w:rsidR="00DE78F9" w:rsidRDefault="00DE78F9">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Create practical playbooks, run a tabletop exercise, validate telemetry and evaluate MDR for 24/7 guided response.</w:t>
            </w:r>
          </w:p>
        </w:tc>
      </w:tr>
    </w:tbl>
    <w:p w14:paraId="4F9CDE12" w14:textId="284070C7" w:rsidR="00000000" w:rsidRDefault="00000000">
      <w:pPr>
        <w:rPr>
          <w:color w:val="595959"/>
          <w:kern w:val="0"/>
          <w:sz w:val="16"/>
          <w:szCs w:val="16"/>
          <w:lang w:eastAsia="en-GB"/>
          <w14:ligatures w14:val="none"/>
        </w:rPr>
      </w:pPr>
      <w:r>
        <w:rPr>
          <w:b/>
          <w:bCs/>
          <w:color w:val="595959"/>
          <w:sz w:val="16"/>
          <w:szCs w:val="16"/>
        </w:rPr>
        <w:t>Weighting methodology:</w:t>
      </w:r>
      <w:r>
        <w:rPr>
          <w:color w:val="595959"/>
          <w:sz w:val="16"/>
          <w:szCs w:val="16"/>
        </w:rPr>
        <w:t xml:space="preserve"> </w:t>
      </w:r>
      <w:r w:rsidR="00E95632">
        <w:rPr>
          <w:color w:val="595959"/>
          <w:sz w:val="16"/>
          <w:szCs w:val="16"/>
        </w:rPr>
        <w:t xml:space="preserve">weighting </w:t>
      </w:r>
      <w:r>
        <w:rPr>
          <w:color w:val="595959"/>
          <w:sz w:val="16"/>
          <w:szCs w:val="16"/>
        </w:rPr>
        <w:t xml:space="preserve">reflects </w:t>
      </w:r>
      <w:r>
        <w:rPr>
          <w:color w:val="595959"/>
          <w:sz w:val="16"/>
          <w:szCs w:val="16"/>
        </w:rPr>
        <w:t xml:space="preserve">business criticality, </w:t>
      </w:r>
      <w:r>
        <w:rPr>
          <w:color w:val="595959"/>
          <w:sz w:val="16"/>
          <w:szCs w:val="16"/>
        </w:rPr>
        <w:t>likelihood</w:t>
      </w:r>
      <w:r w:rsidR="00E95632">
        <w:rPr>
          <w:color w:val="595959"/>
          <w:sz w:val="16"/>
          <w:szCs w:val="16"/>
        </w:rPr>
        <w:t>, impact</w:t>
      </w:r>
      <w:r>
        <w:rPr>
          <w:color w:val="595959"/>
          <w:sz w:val="16"/>
          <w:szCs w:val="16"/>
        </w:rPr>
        <w:t xml:space="preserve">, recovery uncertainty and </w:t>
      </w:r>
      <w:r w:rsidR="00E95632">
        <w:rPr>
          <w:color w:val="595959"/>
          <w:sz w:val="16"/>
          <w:szCs w:val="16"/>
        </w:rPr>
        <w:t>current</w:t>
      </w:r>
      <w:r>
        <w:rPr>
          <w:color w:val="595959"/>
          <w:sz w:val="16"/>
          <w:szCs w:val="16"/>
        </w:rPr>
        <w:t xml:space="preserve"> assurance. </w:t>
      </w:r>
      <w:r w:rsidR="00E95632">
        <w:rPr>
          <w:color w:val="595959"/>
          <w:sz w:val="16"/>
          <w:szCs w:val="16"/>
        </w:rPr>
        <w:t>The total weighting is 100% and is used to sequence investment where change is required.</w:t>
      </w:r>
    </w:p>
    <w:p w14:paraId="052E1467" w14:textId="77777777" w:rsidR="00A950BA" w:rsidRDefault="00A950BA">
      <w:pPr>
        <w:pStyle w:val="Heading1"/>
        <w:rPr>
          <w:rFonts w:cstheme="minorBidi"/>
          <w:kern w:val="36"/>
          <w:lang w:eastAsia="en-GB"/>
          <w14:ligatures w14:val="none"/>
        </w:rPr>
      </w:pPr>
      <w:r>
        <w:rPr>
          <w:rFonts w:cstheme="minorBidi"/>
        </w:rPr>
        <w:lastRenderedPageBreak/>
        <w:t>Scoring Matrix</w:t>
      </w:r>
    </w:p>
    <w:tbl>
      <w:tblPr>
        <w:tblStyle w:val="GridTable4-Accent1"/>
        <w:tblW w:w="5000" w:type="pct"/>
        <w:tblLook w:val="04A0" w:firstRow="1" w:lastRow="0" w:firstColumn="1" w:lastColumn="0" w:noHBand="0" w:noVBand="1"/>
      </w:tblPr>
      <w:tblGrid>
        <w:gridCol w:w="640"/>
        <w:gridCol w:w="2683"/>
        <w:gridCol w:w="3398"/>
        <w:gridCol w:w="2295"/>
      </w:tblGrid>
      <w:tr w:rsidR="00A950BA" w14:paraId="5AE6CCD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516B"/>
            <w:hideMark/>
          </w:tcPr>
          <w:p w14:paraId="1B499E42" w14:textId="77777777" w:rsidR="00A950BA" w:rsidRDefault="00A950BA">
            <w:pPr>
              <w:spacing w:after="160"/>
              <w:rPr>
                <w:color w:val="FFFFFF"/>
                <w:kern w:val="0"/>
                <w:sz w:val="16"/>
                <w:szCs w:val="16"/>
                <w:lang w:eastAsia="en-GB"/>
                <w14:ligatures w14:val="none"/>
              </w:rPr>
            </w:pPr>
            <w:r>
              <w:rPr>
                <w:color w:val="FFFFFF"/>
                <w:sz w:val="16"/>
                <w:szCs w:val="16"/>
              </w:rPr>
              <w:t>Score</w:t>
            </w:r>
          </w:p>
        </w:tc>
        <w:tc>
          <w:tcPr>
            <w:tcW w:w="0" w:type="auto"/>
            <w:shd w:val="clear" w:color="auto" w:fill="00516B"/>
            <w:hideMark/>
          </w:tcPr>
          <w:p w14:paraId="72490E75" w14:textId="77777777" w:rsidR="00A950BA" w:rsidRDefault="00A950BA">
            <w:pPr>
              <w:spacing w:after="160"/>
              <w:cnfStyle w:val="100000000000" w:firstRow="1" w:lastRow="0" w:firstColumn="0" w:lastColumn="0" w:oddVBand="0" w:evenVBand="0" w:oddHBand="0" w:evenHBand="0" w:firstRowFirstColumn="0" w:firstRowLastColumn="0" w:lastRowFirstColumn="0" w:lastRowLastColumn="0"/>
              <w:rPr>
                <w:color w:val="FFFFFF"/>
                <w:sz w:val="16"/>
                <w:szCs w:val="16"/>
              </w:rPr>
            </w:pPr>
            <w:r>
              <w:rPr>
                <w:color w:val="FFFFFF"/>
                <w:sz w:val="16"/>
                <w:szCs w:val="16"/>
              </w:rPr>
              <w:t>Likelihood</w:t>
            </w:r>
          </w:p>
        </w:tc>
        <w:tc>
          <w:tcPr>
            <w:tcW w:w="0" w:type="auto"/>
            <w:shd w:val="clear" w:color="auto" w:fill="00516B"/>
            <w:hideMark/>
          </w:tcPr>
          <w:p w14:paraId="77BC9F74" w14:textId="77777777" w:rsidR="00A950BA" w:rsidRDefault="00A950BA">
            <w:pPr>
              <w:spacing w:after="160"/>
              <w:cnfStyle w:val="100000000000" w:firstRow="1" w:lastRow="0" w:firstColumn="0" w:lastColumn="0" w:oddVBand="0" w:evenVBand="0" w:oddHBand="0" w:evenHBand="0" w:firstRowFirstColumn="0" w:firstRowLastColumn="0" w:lastRowFirstColumn="0" w:lastRowLastColumn="0"/>
              <w:rPr>
                <w:color w:val="FFFFFF"/>
                <w:sz w:val="16"/>
                <w:szCs w:val="16"/>
              </w:rPr>
            </w:pPr>
            <w:r>
              <w:rPr>
                <w:color w:val="FFFFFF"/>
                <w:sz w:val="16"/>
                <w:szCs w:val="16"/>
              </w:rPr>
              <w:t>Impact</w:t>
            </w:r>
          </w:p>
        </w:tc>
        <w:tc>
          <w:tcPr>
            <w:tcW w:w="0" w:type="auto"/>
            <w:shd w:val="clear" w:color="auto" w:fill="00516B"/>
            <w:hideMark/>
          </w:tcPr>
          <w:p w14:paraId="1A3E1636" w14:textId="77777777" w:rsidR="00A950BA" w:rsidRDefault="00A950BA">
            <w:pPr>
              <w:spacing w:after="160"/>
              <w:cnfStyle w:val="100000000000" w:firstRow="1" w:lastRow="0" w:firstColumn="0" w:lastColumn="0" w:oddVBand="0" w:evenVBand="0" w:oddHBand="0" w:evenHBand="0" w:firstRowFirstColumn="0" w:firstRowLastColumn="0" w:lastRowFirstColumn="0" w:lastRowLastColumn="0"/>
              <w:rPr>
                <w:color w:val="FFFFFF"/>
                <w:sz w:val="16"/>
                <w:szCs w:val="16"/>
              </w:rPr>
            </w:pPr>
            <w:r>
              <w:rPr>
                <w:color w:val="FFFFFF"/>
                <w:sz w:val="16"/>
                <w:szCs w:val="16"/>
              </w:rPr>
              <w:t>RAG Outcome</w:t>
            </w:r>
          </w:p>
        </w:tc>
      </w:tr>
      <w:tr w:rsidR="00A950BA" w14:paraId="6AFAD19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2F0D9"/>
            <w:hideMark/>
          </w:tcPr>
          <w:p w14:paraId="634D28EC" w14:textId="77777777" w:rsidR="00A950BA" w:rsidRDefault="00A950BA">
            <w:pPr>
              <w:spacing w:after="160"/>
              <w:jc w:val="center"/>
              <w:rPr>
                <w:sz w:val="16"/>
                <w:szCs w:val="16"/>
              </w:rPr>
            </w:pPr>
            <w:r>
              <w:rPr>
                <w:sz w:val="16"/>
                <w:szCs w:val="16"/>
              </w:rPr>
              <w:t>1–4</w:t>
            </w:r>
          </w:p>
        </w:tc>
        <w:tc>
          <w:tcPr>
            <w:tcW w:w="0" w:type="auto"/>
            <w:shd w:val="clear" w:color="auto" w:fill="E2F0D9"/>
            <w:hideMark/>
          </w:tcPr>
          <w:p w14:paraId="2227D741"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Unlikely or limited exposure.</w:t>
            </w:r>
          </w:p>
        </w:tc>
        <w:tc>
          <w:tcPr>
            <w:tcW w:w="0" w:type="auto"/>
            <w:shd w:val="clear" w:color="auto" w:fill="E2F0D9"/>
            <w:hideMark/>
          </w:tcPr>
          <w:p w14:paraId="6D799334"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Low business disruption or easily recoverable.</w:t>
            </w:r>
          </w:p>
        </w:tc>
        <w:tc>
          <w:tcPr>
            <w:tcW w:w="0" w:type="auto"/>
            <w:shd w:val="clear" w:color="auto" w:fill="E2F0D9"/>
            <w:hideMark/>
          </w:tcPr>
          <w:p w14:paraId="6C1133BD"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Green:</w:t>
            </w:r>
            <w:r>
              <w:rPr>
                <w:sz w:val="16"/>
                <w:szCs w:val="16"/>
              </w:rPr>
              <w:t xml:space="preserve"> monitor through routine governance.</w:t>
            </w:r>
          </w:p>
        </w:tc>
      </w:tr>
      <w:tr w:rsidR="00A950BA" w14:paraId="3EC87178" w14:textId="77777777">
        <w:tc>
          <w:tcPr>
            <w:cnfStyle w:val="001000000000" w:firstRow="0" w:lastRow="0" w:firstColumn="1" w:lastColumn="0" w:oddVBand="0" w:evenVBand="0" w:oddHBand="0" w:evenHBand="0" w:firstRowFirstColumn="0" w:firstRowLastColumn="0" w:lastRowFirstColumn="0" w:lastRowLastColumn="0"/>
            <w:tcW w:w="0" w:type="auto"/>
            <w:shd w:val="clear" w:color="auto" w:fill="FFF2CC"/>
            <w:hideMark/>
          </w:tcPr>
          <w:p w14:paraId="33489342" w14:textId="77777777" w:rsidR="00A950BA" w:rsidRDefault="00A950BA">
            <w:pPr>
              <w:spacing w:after="160"/>
              <w:jc w:val="center"/>
              <w:rPr>
                <w:sz w:val="16"/>
                <w:szCs w:val="16"/>
              </w:rPr>
            </w:pPr>
            <w:r>
              <w:rPr>
                <w:sz w:val="16"/>
                <w:szCs w:val="16"/>
              </w:rPr>
              <w:t>5–9</w:t>
            </w:r>
          </w:p>
        </w:tc>
        <w:tc>
          <w:tcPr>
            <w:tcW w:w="0" w:type="auto"/>
            <w:shd w:val="clear" w:color="auto" w:fill="FFF2CC"/>
            <w:hideMark/>
          </w:tcPr>
          <w:p w14:paraId="0246245F" w14:textId="77777777" w:rsidR="00A950BA" w:rsidRDefault="00A950BA">
            <w:pPr>
              <w:spacing w:after="16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Credible exposure or known control gap.</w:t>
            </w:r>
          </w:p>
        </w:tc>
        <w:tc>
          <w:tcPr>
            <w:tcW w:w="0" w:type="auto"/>
            <w:shd w:val="clear" w:color="auto" w:fill="FFF2CC"/>
            <w:hideMark/>
          </w:tcPr>
          <w:p w14:paraId="57EDF85F" w14:textId="77777777" w:rsidR="00A950BA" w:rsidRDefault="00A950BA">
            <w:pPr>
              <w:spacing w:after="16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Material operational, compliance or recovery impact.</w:t>
            </w:r>
          </w:p>
        </w:tc>
        <w:tc>
          <w:tcPr>
            <w:tcW w:w="0" w:type="auto"/>
            <w:shd w:val="clear" w:color="auto" w:fill="FFF2CC"/>
            <w:hideMark/>
          </w:tcPr>
          <w:p w14:paraId="5F5E46A1" w14:textId="77777777" w:rsidR="00A950BA" w:rsidRDefault="00A950BA">
            <w:pPr>
              <w:spacing w:after="160"/>
              <w:cnfStyle w:val="000000000000" w:firstRow="0" w:lastRow="0" w:firstColumn="0" w:lastColumn="0" w:oddVBand="0" w:evenVBand="0" w:oddHBand="0" w:evenHBand="0" w:firstRowFirstColumn="0" w:firstRowLastColumn="0" w:lastRowFirstColumn="0" w:lastRowLastColumn="0"/>
              <w:rPr>
                <w:sz w:val="16"/>
                <w:szCs w:val="16"/>
              </w:rPr>
            </w:pPr>
            <w:r>
              <w:rPr>
                <w:b/>
                <w:bCs/>
                <w:sz w:val="16"/>
                <w:szCs w:val="16"/>
              </w:rPr>
              <w:t>Amber:</w:t>
            </w:r>
            <w:r>
              <w:rPr>
                <w:sz w:val="16"/>
                <w:szCs w:val="16"/>
              </w:rPr>
              <w:t xml:space="preserve"> prioritise remediation planning.</w:t>
            </w:r>
          </w:p>
        </w:tc>
      </w:tr>
      <w:tr w:rsidR="00A950BA" w14:paraId="67561D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CE4D6"/>
            <w:hideMark/>
          </w:tcPr>
          <w:p w14:paraId="2AB5E069" w14:textId="77777777" w:rsidR="00A950BA" w:rsidRDefault="00A950BA">
            <w:pPr>
              <w:spacing w:after="160"/>
              <w:jc w:val="center"/>
              <w:rPr>
                <w:sz w:val="16"/>
                <w:szCs w:val="16"/>
              </w:rPr>
            </w:pPr>
            <w:r>
              <w:rPr>
                <w:sz w:val="16"/>
                <w:szCs w:val="16"/>
              </w:rPr>
              <w:t>10–15</w:t>
            </w:r>
          </w:p>
        </w:tc>
        <w:tc>
          <w:tcPr>
            <w:tcW w:w="0" w:type="auto"/>
            <w:shd w:val="clear" w:color="auto" w:fill="FCE4D6"/>
            <w:hideMark/>
          </w:tcPr>
          <w:p w14:paraId="1E6EF17D"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High exposure, active threat route or limited assurance.</w:t>
            </w:r>
          </w:p>
        </w:tc>
        <w:tc>
          <w:tcPr>
            <w:tcW w:w="0" w:type="auto"/>
            <w:shd w:val="clear" w:color="auto" w:fill="FCE4D6"/>
            <w:hideMark/>
          </w:tcPr>
          <w:p w14:paraId="21331DFB"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Severe disruption, data loss, recovery uncertainty or stakeholder impact.</w:t>
            </w:r>
          </w:p>
        </w:tc>
        <w:tc>
          <w:tcPr>
            <w:tcW w:w="0" w:type="auto"/>
            <w:shd w:val="clear" w:color="auto" w:fill="C00000"/>
            <w:hideMark/>
          </w:tcPr>
          <w:p w14:paraId="4111EA4B" w14:textId="77777777" w:rsidR="00A950BA" w:rsidRDefault="00A950BA">
            <w:pPr>
              <w:spacing w:after="160"/>
              <w:cnfStyle w:val="000000100000" w:firstRow="0" w:lastRow="0" w:firstColumn="0" w:lastColumn="0" w:oddVBand="0" w:evenVBand="0" w:oddHBand="1" w:evenHBand="0" w:firstRowFirstColumn="0" w:firstRowLastColumn="0" w:lastRowFirstColumn="0" w:lastRowLastColumn="0"/>
              <w:rPr>
                <w:color w:val="FFFFFF"/>
                <w:sz w:val="16"/>
                <w:szCs w:val="16"/>
              </w:rPr>
            </w:pPr>
            <w:r>
              <w:rPr>
                <w:b/>
                <w:bCs/>
                <w:color w:val="FFFFFF"/>
                <w:sz w:val="16"/>
                <w:szCs w:val="16"/>
              </w:rPr>
              <w:t>Red:</w:t>
            </w:r>
            <w:r>
              <w:rPr>
                <w:color w:val="FFFFFF"/>
                <w:sz w:val="16"/>
                <w:szCs w:val="16"/>
              </w:rPr>
              <w:t xml:space="preserve"> executive priority for funded action.</w:t>
            </w:r>
          </w:p>
        </w:tc>
      </w:tr>
    </w:tbl>
    <w:p w14:paraId="1C374228" w14:textId="77777777" w:rsidR="00A950BA" w:rsidRDefault="00A950BA">
      <w:pPr>
        <w:rPr>
          <w:kern w:val="0"/>
          <w:lang w:eastAsia="en-GB"/>
          <w14:ligatures w14:val="none"/>
        </w:rPr>
      </w:pPr>
    </w:p>
    <w:p w14:paraId="73BC7379" w14:textId="77777777" w:rsidR="00F54F30" w:rsidRDefault="00F54F30">
      <w:pPr>
        <w:rPr>
          <w:kern w:val="0"/>
          <w:lang w:eastAsia="en-GB"/>
          <w14:ligatures w14:val="none"/>
        </w:rPr>
      </w:pPr>
    </w:p>
    <w:p w14:paraId="0B2BA524" w14:textId="77777777" w:rsidR="00F54F30" w:rsidRDefault="00F54F30">
      <w:pPr>
        <w:pStyle w:val="Heading1"/>
        <w:rPr>
          <w:rFonts w:cstheme="minorBidi"/>
          <w:kern w:val="36"/>
          <w:lang w:eastAsia="en-GB"/>
          <w14:ligatures w14:val="none"/>
        </w:rPr>
      </w:pPr>
      <w:r>
        <w:rPr>
          <w:rFonts w:cstheme="minorBidi"/>
        </w:rPr>
        <w:t>Indicative Costs</w:t>
      </w:r>
    </w:p>
    <w:tbl>
      <w:tblPr>
        <w:tblStyle w:val="GridTable4-Accent1"/>
        <w:tblW w:w="5000" w:type="pct"/>
        <w:tblLook w:val="04A0" w:firstRow="1" w:lastRow="0" w:firstColumn="1" w:lastColumn="0" w:noHBand="0" w:noVBand="1"/>
      </w:tblPr>
      <w:tblGrid>
        <w:gridCol w:w="2278"/>
        <w:gridCol w:w="5683"/>
        <w:gridCol w:w="1055"/>
      </w:tblGrid>
      <w:tr w:rsidR="00A813D6" w14:paraId="42FB46D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516B"/>
            <w:hideMark/>
          </w:tcPr>
          <w:p w14:paraId="3B8E78E7" w14:textId="77777777" w:rsidR="00A813D6" w:rsidRDefault="00A813D6">
            <w:pPr>
              <w:spacing w:after="160"/>
              <w:rPr>
                <w:color w:val="FFFFFF"/>
                <w:kern w:val="0"/>
                <w:sz w:val="18"/>
                <w:szCs w:val="18"/>
                <w:lang w:eastAsia="en-GB"/>
                <w14:ligatures w14:val="none"/>
              </w:rPr>
            </w:pPr>
            <w:r>
              <w:rPr>
                <w:color w:val="FFFFFF"/>
                <w:sz w:val="18"/>
                <w:szCs w:val="18"/>
              </w:rPr>
              <w:t>Workstream</w:t>
            </w:r>
          </w:p>
        </w:tc>
        <w:tc>
          <w:tcPr>
            <w:tcW w:w="0" w:type="auto"/>
            <w:shd w:val="clear" w:color="auto" w:fill="00516B"/>
            <w:hideMark/>
          </w:tcPr>
          <w:p w14:paraId="63C1045E" w14:textId="77777777" w:rsidR="00A813D6" w:rsidRDefault="00A813D6">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Indicative Scope</w:t>
            </w:r>
          </w:p>
        </w:tc>
        <w:tc>
          <w:tcPr>
            <w:tcW w:w="0" w:type="auto"/>
            <w:shd w:val="clear" w:color="auto" w:fill="00516B"/>
            <w:hideMark/>
          </w:tcPr>
          <w:p w14:paraId="7ED16ACD" w14:textId="77777777" w:rsidR="00A813D6" w:rsidRDefault="00A813D6">
            <w:pPr>
              <w:spacing w:after="160"/>
              <w:cnfStyle w:val="100000000000" w:firstRow="1" w:lastRow="0" w:firstColumn="0" w:lastColumn="0" w:oddVBand="0" w:evenVBand="0" w:oddHBand="0" w:evenHBand="0" w:firstRowFirstColumn="0" w:firstRowLastColumn="0" w:lastRowFirstColumn="0" w:lastRowLastColumn="0"/>
              <w:rPr>
                <w:color w:val="FFFFFF"/>
                <w:sz w:val="18"/>
                <w:szCs w:val="18"/>
              </w:rPr>
            </w:pPr>
            <w:r>
              <w:rPr>
                <w:color w:val="FFFFFF"/>
                <w:sz w:val="18"/>
                <w:szCs w:val="18"/>
              </w:rPr>
              <w:t>Cost Range</w:t>
            </w:r>
          </w:p>
        </w:tc>
      </w:tr>
      <w:tr w:rsidR="00A813D6" w14:paraId="7D3F6A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AF3F8"/>
            <w:hideMark/>
          </w:tcPr>
          <w:p w14:paraId="3CD87BA5" w14:textId="77777777" w:rsidR="00A813D6" w:rsidRDefault="00A813D6">
            <w:pPr>
              <w:spacing w:after="160"/>
              <w:rPr>
                <w:sz w:val="18"/>
                <w:szCs w:val="18"/>
              </w:rPr>
            </w:pPr>
            <w:r>
              <w:rPr>
                <w:sz w:val="18"/>
                <w:szCs w:val="18"/>
              </w:rPr>
              <w:t>Microsoft 365 recovery</w:t>
            </w:r>
          </w:p>
        </w:tc>
        <w:tc>
          <w:tcPr>
            <w:tcW w:w="0" w:type="auto"/>
            <w:shd w:val="clear" w:color="auto" w:fill="EAF3F8"/>
            <w:hideMark/>
          </w:tcPr>
          <w:p w14:paraId="580C39DD" w14:textId="77777777" w:rsidR="00A813D6" w:rsidRDefault="00A813D6">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Recovery requirements, backup option review, retention model and restore testing.</w:t>
            </w:r>
          </w:p>
        </w:tc>
        <w:tc>
          <w:tcPr>
            <w:tcW w:w="0" w:type="auto"/>
            <w:shd w:val="clear" w:color="auto" w:fill="EAF3F8"/>
            <w:hideMark/>
          </w:tcPr>
          <w:p w14:paraId="6814B3B7" w14:textId="77777777" w:rsidR="00A813D6" w:rsidRDefault="00A813D6">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£[x] – £[y]</w:t>
            </w:r>
          </w:p>
        </w:tc>
      </w:tr>
      <w:tr w:rsidR="00A813D6" w14:paraId="04D1254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4F58162" w14:textId="77777777" w:rsidR="00A813D6" w:rsidRDefault="00A813D6">
            <w:pPr>
              <w:spacing w:after="160"/>
              <w:rPr>
                <w:sz w:val="18"/>
                <w:szCs w:val="18"/>
              </w:rPr>
            </w:pPr>
            <w:r>
              <w:rPr>
                <w:sz w:val="18"/>
                <w:szCs w:val="18"/>
              </w:rPr>
              <w:t>Email and identity assurance</w:t>
            </w:r>
          </w:p>
        </w:tc>
        <w:tc>
          <w:tcPr>
            <w:tcW w:w="0" w:type="auto"/>
            <w:hideMark/>
          </w:tcPr>
          <w:p w14:paraId="59712F24" w14:textId="77777777" w:rsidR="00A813D6" w:rsidRDefault="00A813D6">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Defender review, MFA audit, OAuth/mailbox controls and email security comparison.</w:t>
            </w:r>
          </w:p>
        </w:tc>
        <w:tc>
          <w:tcPr>
            <w:tcW w:w="0" w:type="auto"/>
            <w:hideMark/>
          </w:tcPr>
          <w:p w14:paraId="662A6E2A" w14:textId="77777777" w:rsidR="00A813D6" w:rsidRDefault="00A813D6">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£[x] – £[y]</w:t>
            </w:r>
          </w:p>
        </w:tc>
      </w:tr>
      <w:tr w:rsidR="00A813D6" w14:paraId="7E04E74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AF3F8"/>
            <w:hideMark/>
          </w:tcPr>
          <w:p w14:paraId="66904E2A" w14:textId="77777777" w:rsidR="00A813D6" w:rsidRDefault="00A813D6">
            <w:pPr>
              <w:spacing w:after="160"/>
              <w:rPr>
                <w:sz w:val="18"/>
                <w:szCs w:val="18"/>
              </w:rPr>
            </w:pPr>
            <w:r>
              <w:rPr>
                <w:sz w:val="18"/>
                <w:szCs w:val="18"/>
              </w:rPr>
              <w:t>Response readiness</w:t>
            </w:r>
          </w:p>
        </w:tc>
        <w:tc>
          <w:tcPr>
            <w:tcW w:w="0" w:type="auto"/>
            <w:shd w:val="clear" w:color="auto" w:fill="EAF3F8"/>
            <w:hideMark/>
          </w:tcPr>
          <w:p w14:paraId="491389A2" w14:textId="77777777" w:rsidR="00A813D6" w:rsidRDefault="00A813D6">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IR/DR playbooks, tabletop exercise, telemetry validation and MDR readiness review.</w:t>
            </w:r>
          </w:p>
        </w:tc>
        <w:tc>
          <w:tcPr>
            <w:tcW w:w="0" w:type="auto"/>
            <w:shd w:val="clear" w:color="auto" w:fill="EAF3F8"/>
            <w:hideMark/>
          </w:tcPr>
          <w:p w14:paraId="0D93E6AB" w14:textId="77777777" w:rsidR="00A813D6" w:rsidRDefault="00A813D6">
            <w:pPr>
              <w:spacing w:after="160"/>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£[x] – £[y]</w:t>
            </w:r>
          </w:p>
        </w:tc>
      </w:tr>
      <w:tr w:rsidR="00A813D6" w14:paraId="4874FBA7"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D29F26D" w14:textId="77777777" w:rsidR="00A813D6" w:rsidRDefault="00A813D6">
            <w:pPr>
              <w:spacing w:after="160"/>
              <w:rPr>
                <w:sz w:val="18"/>
                <w:szCs w:val="18"/>
              </w:rPr>
            </w:pPr>
            <w:r>
              <w:rPr>
                <w:sz w:val="18"/>
                <w:szCs w:val="18"/>
              </w:rPr>
              <w:t>Combined package</w:t>
            </w:r>
          </w:p>
        </w:tc>
        <w:tc>
          <w:tcPr>
            <w:tcW w:w="0" w:type="auto"/>
            <w:hideMark/>
          </w:tcPr>
          <w:p w14:paraId="6D4612B1" w14:textId="77777777" w:rsidR="00A813D6" w:rsidRDefault="00A813D6">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Coordinated delivery with governance check-ins and consolidated executive reporting.</w:t>
            </w:r>
          </w:p>
        </w:tc>
        <w:tc>
          <w:tcPr>
            <w:tcW w:w="0" w:type="auto"/>
            <w:hideMark/>
          </w:tcPr>
          <w:p w14:paraId="3447FB00" w14:textId="77777777" w:rsidR="00A813D6" w:rsidRDefault="00A813D6">
            <w:pPr>
              <w:spacing w:after="160"/>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£[x] – £[y]</w:t>
            </w:r>
          </w:p>
        </w:tc>
      </w:tr>
    </w:tbl>
    <w:p w14:paraId="65F69430" w14:textId="77777777" w:rsidR="00A84A71" w:rsidRDefault="00A84A71">
      <w:pPr>
        <w:pBdr>
          <w:top w:val="single" w:sz="8" w:space="0" w:color="00516B"/>
          <w:left w:val="single" w:sz="8" w:space="0" w:color="00516B"/>
          <w:bottom w:val="single" w:sz="8" w:space="0" w:color="00516B"/>
          <w:right w:val="single" w:sz="8" w:space="0" w:color="00516B"/>
        </w:pBdr>
        <w:shd w:val="clear" w:color="auto" w:fill="EAF3F8"/>
        <w:rPr>
          <w:color w:val="000000"/>
          <w:kern w:val="0"/>
          <w:sz w:val="18"/>
          <w:szCs w:val="18"/>
          <w:lang w:eastAsia="en-GB"/>
          <w14:ligatures w14:val="none"/>
        </w:rPr>
      </w:pPr>
      <w:r>
        <w:rPr>
          <w:b/>
          <w:bCs/>
          <w:color w:val="000000"/>
          <w:sz w:val="18"/>
          <w:szCs w:val="18"/>
        </w:rPr>
        <w:t>Recommended next step:</w:t>
      </w:r>
      <w:r>
        <w:rPr>
          <w:color w:val="000000"/>
          <w:sz w:val="18"/>
          <w:szCs w:val="18"/>
        </w:rPr>
        <w:t xml:space="preserve"> approve a scoped discovery and remediation planning exercise covering Microsoft 365 backup, email and identity assurance, and incident response readiness. This should produce confirmed costs, delivery sequencing, ownership and decision points for funded change.</w:t>
      </w:r>
    </w:p>
    <w:p w14:paraId="7F1A9329" w14:textId="77777777" w:rsidR="00F54F30" w:rsidRDefault="00F54F30">
      <w:pPr>
        <w:rPr>
          <w:kern w:val="0"/>
          <w:lang w:eastAsia="en-GB"/>
          <w14:ligatures w14:val="none"/>
        </w:rPr>
      </w:pPr>
    </w:p>
    <w:p w14:paraId="66DB6A52" w14:textId="10760AB0" w:rsidR="00000000" w:rsidRDefault="00000000">
      <w:pPr>
        <w:rPr>
          <w:color w:val="595959"/>
          <w:kern w:val="0"/>
          <w:sz w:val="20"/>
          <w:szCs w:val="20"/>
          <w:lang w:eastAsia="en-GB"/>
          <w14:ligatures w14:val="none"/>
        </w:rPr>
      </w:pPr>
      <w:r w:rsidRPr="00A950BA">
        <w:rPr>
          <w:b/>
          <w:color w:val="595959"/>
          <w:sz w:val="18"/>
          <w:szCs w:val="18"/>
        </w:rPr>
        <w:t>Assumptions:</w:t>
      </w:r>
      <w:r w:rsidRPr="00A950BA">
        <w:rPr>
          <w:color w:val="595959"/>
          <w:sz w:val="18"/>
          <w:szCs w:val="18"/>
        </w:rPr>
        <w:t xml:space="preserve"> </w:t>
      </w:r>
      <w:r w:rsidR="00A950BA">
        <w:rPr>
          <w:color w:val="595959"/>
          <w:sz w:val="18"/>
          <w:szCs w:val="18"/>
        </w:rPr>
        <w:t>Indicative costs</w:t>
      </w:r>
      <w:r w:rsidRPr="00A950BA">
        <w:rPr>
          <w:color w:val="595959"/>
          <w:sz w:val="18"/>
          <w:szCs w:val="18"/>
        </w:rPr>
        <w:t xml:space="preserve"> should be refined once </w:t>
      </w:r>
      <w:r w:rsidRPr="00A950BA">
        <w:rPr>
          <w:color w:val="595959"/>
          <w:sz w:val="18"/>
          <w:szCs w:val="18"/>
        </w:rPr>
        <w:t>scope, licensing</w:t>
      </w:r>
      <w:r w:rsidRPr="00A950BA">
        <w:rPr>
          <w:color w:val="595959"/>
          <w:sz w:val="18"/>
          <w:szCs w:val="18"/>
        </w:rPr>
        <w:t xml:space="preserve">, delivery model and </w:t>
      </w:r>
      <w:r w:rsidRPr="00A950BA">
        <w:rPr>
          <w:color w:val="595959"/>
          <w:sz w:val="18"/>
          <w:szCs w:val="18"/>
        </w:rPr>
        <w:t xml:space="preserve">dependencies </w:t>
      </w:r>
      <w:r w:rsidR="00A950BA">
        <w:rPr>
          <w:color w:val="595959"/>
          <w:sz w:val="18"/>
          <w:szCs w:val="18"/>
        </w:rPr>
        <w:t xml:space="preserve">are </w:t>
      </w:r>
      <w:r w:rsidRPr="00A950BA">
        <w:rPr>
          <w:color w:val="595959"/>
          <w:sz w:val="18"/>
          <w:szCs w:val="18"/>
        </w:rPr>
        <w:t xml:space="preserve">confirmed. </w:t>
      </w:r>
      <w:r w:rsidR="00A950BA">
        <w:rPr>
          <w:color w:val="595959"/>
          <w:sz w:val="18"/>
          <w:szCs w:val="18"/>
        </w:rPr>
        <w:t>This document summarises</w:t>
      </w:r>
      <w:r w:rsidRPr="00A950BA">
        <w:rPr>
          <w:color w:val="595959"/>
          <w:sz w:val="18"/>
          <w:szCs w:val="18"/>
        </w:rPr>
        <w:t xml:space="preserve"> the full assessment </w:t>
      </w:r>
      <w:r w:rsidR="00A950BA">
        <w:rPr>
          <w:color w:val="595959"/>
          <w:sz w:val="18"/>
          <w:szCs w:val="18"/>
        </w:rPr>
        <w:t>and does not</w:t>
      </w:r>
      <w:r w:rsidRPr="00A950BA">
        <w:rPr>
          <w:color w:val="595959"/>
          <w:sz w:val="18"/>
          <w:szCs w:val="18"/>
        </w:rPr>
        <w:t xml:space="preserve"> replace the </w:t>
      </w:r>
      <w:r w:rsidR="00A950BA">
        <w:rPr>
          <w:color w:val="595959"/>
          <w:sz w:val="18"/>
          <w:szCs w:val="18"/>
        </w:rPr>
        <w:t>supporting</w:t>
      </w:r>
      <w:r w:rsidRPr="00A950BA">
        <w:rPr>
          <w:color w:val="595959"/>
          <w:sz w:val="18"/>
          <w:szCs w:val="18"/>
        </w:rPr>
        <w:t xml:space="preserve"> evidence base.</w:t>
      </w:r>
    </w:p>
    <w:p w14:paraId="3C0F507F" w14:textId="77777777" w:rsidR="00E95632" w:rsidRDefault="00E95632">
      <w:pPr>
        <w:jc w:val="center"/>
        <w:rPr>
          <w:color w:val="595959"/>
          <w:kern w:val="0"/>
          <w:sz w:val="16"/>
          <w:szCs w:val="16"/>
          <w:lang w:eastAsia="en-GB"/>
          <w14:ligatures w14:val="none"/>
        </w:rPr>
      </w:pPr>
      <w:r>
        <w:rPr>
          <w:color w:val="595959"/>
          <w:sz w:val="16"/>
          <w:szCs w:val="16"/>
        </w:rPr>
        <w:t>Confidential | Executive Summary Extract | Planet IT</w:t>
      </w:r>
    </w:p>
    <w:p w14:paraId="56DA7199" w14:textId="77777777" w:rsidR="00F51061" w:rsidRDefault="00F51061"/>
    <w:sectPr w:rsidR="00F510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4AD"/>
    <w:rsid w:val="00064A57"/>
    <w:rsid w:val="001860FA"/>
    <w:rsid w:val="001D4389"/>
    <w:rsid w:val="003264AD"/>
    <w:rsid w:val="00361371"/>
    <w:rsid w:val="0053240C"/>
    <w:rsid w:val="005460C7"/>
    <w:rsid w:val="00726E02"/>
    <w:rsid w:val="00A813D6"/>
    <w:rsid w:val="00A84A71"/>
    <w:rsid w:val="00A86552"/>
    <w:rsid w:val="00A950BA"/>
    <w:rsid w:val="00B83846"/>
    <w:rsid w:val="00D318C8"/>
    <w:rsid w:val="00DE630A"/>
    <w:rsid w:val="00DE78F9"/>
    <w:rsid w:val="00E95632"/>
    <w:rsid w:val="00EB4209"/>
    <w:rsid w:val="00F51061"/>
    <w:rsid w:val="00F54F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5D7C9E0"/>
  <w15:chartTrackingRefBased/>
  <w15:docId w15:val="{29C811AB-CBBC-344E-8E60-FA12B690B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64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64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64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64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64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4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4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4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4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64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64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64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64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64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4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4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4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4AD"/>
    <w:rPr>
      <w:rFonts w:eastAsiaTheme="majorEastAsia" w:cstheme="majorBidi"/>
      <w:color w:val="272727" w:themeColor="text1" w:themeTint="D8"/>
    </w:rPr>
  </w:style>
  <w:style w:type="paragraph" w:styleId="Title">
    <w:name w:val="Title"/>
    <w:basedOn w:val="Normal"/>
    <w:next w:val="Normal"/>
    <w:link w:val="TitleChar"/>
    <w:uiPriority w:val="10"/>
    <w:qFormat/>
    <w:rsid w:val="003264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4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4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4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4AD"/>
    <w:pPr>
      <w:spacing w:before="160"/>
      <w:jc w:val="center"/>
    </w:pPr>
    <w:rPr>
      <w:i/>
      <w:iCs/>
      <w:color w:val="404040" w:themeColor="text1" w:themeTint="BF"/>
    </w:rPr>
  </w:style>
  <w:style w:type="character" w:customStyle="1" w:styleId="QuoteChar">
    <w:name w:val="Quote Char"/>
    <w:basedOn w:val="DefaultParagraphFont"/>
    <w:link w:val="Quote"/>
    <w:uiPriority w:val="29"/>
    <w:rsid w:val="003264AD"/>
    <w:rPr>
      <w:i/>
      <w:iCs/>
      <w:color w:val="404040" w:themeColor="text1" w:themeTint="BF"/>
    </w:rPr>
  </w:style>
  <w:style w:type="paragraph" w:styleId="ListParagraph">
    <w:name w:val="List Paragraph"/>
    <w:basedOn w:val="Normal"/>
    <w:uiPriority w:val="34"/>
    <w:qFormat/>
    <w:rsid w:val="003264AD"/>
    <w:pPr>
      <w:ind w:left="720"/>
      <w:contextualSpacing/>
    </w:pPr>
  </w:style>
  <w:style w:type="character" w:styleId="IntenseEmphasis">
    <w:name w:val="Intense Emphasis"/>
    <w:basedOn w:val="DefaultParagraphFont"/>
    <w:uiPriority w:val="21"/>
    <w:qFormat/>
    <w:rsid w:val="003264AD"/>
    <w:rPr>
      <w:i/>
      <w:iCs/>
      <w:color w:val="0F4761" w:themeColor="accent1" w:themeShade="BF"/>
    </w:rPr>
  </w:style>
  <w:style w:type="paragraph" w:styleId="IntenseQuote">
    <w:name w:val="Intense Quote"/>
    <w:basedOn w:val="Normal"/>
    <w:next w:val="Normal"/>
    <w:link w:val="IntenseQuoteChar"/>
    <w:uiPriority w:val="30"/>
    <w:qFormat/>
    <w:rsid w:val="003264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4AD"/>
    <w:rPr>
      <w:i/>
      <w:iCs/>
      <w:color w:val="0F4761" w:themeColor="accent1" w:themeShade="BF"/>
    </w:rPr>
  </w:style>
  <w:style w:type="character" w:styleId="IntenseReference">
    <w:name w:val="Intense Reference"/>
    <w:basedOn w:val="DefaultParagraphFont"/>
    <w:uiPriority w:val="32"/>
    <w:qFormat/>
    <w:rsid w:val="003264AD"/>
    <w:rPr>
      <w:b/>
      <w:bCs/>
      <w:smallCaps/>
      <w:color w:val="0F4761" w:themeColor="accent1" w:themeShade="BF"/>
      <w:spacing w:val="5"/>
    </w:rPr>
  </w:style>
  <w:style w:type="character" w:styleId="BookTitle">
    <w:name w:val="Book Title"/>
    <w:basedOn w:val="DefaultParagraphFont"/>
    <w:uiPriority w:val="33"/>
    <w:qFormat/>
    <w:rsid w:val="003264AD"/>
    <w:rPr>
      <w:b/>
      <w:bCs/>
      <w:i/>
      <w:iCs/>
      <w:spacing w:val="5"/>
    </w:rPr>
  </w:style>
  <w:style w:type="paragraph" w:styleId="Caption">
    <w:name w:val="caption"/>
    <w:basedOn w:val="Normal"/>
    <w:next w:val="Normal"/>
    <w:uiPriority w:val="35"/>
    <w:semiHidden/>
    <w:unhideWhenUsed/>
    <w:qFormat/>
    <w:rsid w:val="003264AD"/>
    <w:pPr>
      <w:spacing w:after="200" w:line="240" w:lineRule="auto"/>
    </w:pPr>
    <w:rPr>
      <w:i/>
      <w:iCs/>
      <w:color w:val="0E2841" w:themeColor="text2"/>
      <w:sz w:val="18"/>
      <w:szCs w:val="18"/>
    </w:rPr>
  </w:style>
  <w:style w:type="character" w:styleId="Emphasis">
    <w:name w:val="Emphasis"/>
    <w:basedOn w:val="DefaultParagraphFont"/>
    <w:uiPriority w:val="20"/>
    <w:qFormat/>
    <w:rsid w:val="003264AD"/>
    <w:rPr>
      <w:i/>
      <w:iCs/>
    </w:rPr>
  </w:style>
  <w:style w:type="paragraph" w:styleId="NoSpacing">
    <w:name w:val="No Spacing"/>
    <w:uiPriority w:val="1"/>
    <w:qFormat/>
    <w:rsid w:val="003264AD"/>
    <w:pPr>
      <w:spacing w:after="0" w:line="240" w:lineRule="auto"/>
    </w:pPr>
  </w:style>
  <w:style w:type="character" w:styleId="Strong">
    <w:name w:val="Strong"/>
    <w:basedOn w:val="DefaultParagraphFont"/>
    <w:uiPriority w:val="22"/>
    <w:qFormat/>
    <w:rsid w:val="003264AD"/>
    <w:rPr>
      <w:b/>
      <w:bCs/>
    </w:rPr>
  </w:style>
  <w:style w:type="character" w:styleId="SubtleEmphasis">
    <w:name w:val="Subtle Emphasis"/>
    <w:basedOn w:val="DefaultParagraphFont"/>
    <w:uiPriority w:val="19"/>
    <w:qFormat/>
    <w:rsid w:val="003264AD"/>
    <w:rPr>
      <w:i/>
      <w:iCs/>
      <w:color w:val="404040" w:themeColor="text1" w:themeTint="BF"/>
    </w:rPr>
  </w:style>
  <w:style w:type="character" w:styleId="SubtleReference">
    <w:name w:val="Subtle Reference"/>
    <w:basedOn w:val="DefaultParagraphFont"/>
    <w:uiPriority w:val="31"/>
    <w:qFormat/>
    <w:rsid w:val="003264AD"/>
    <w:rPr>
      <w:smallCaps/>
      <w:color w:val="5A5A5A" w:themeColor="text1" w:themeTint="A5"/>
    </w:rPr>
  </w:style>
  <w:style w:type="paragraph" w:styleId="TOCHeading">
    <w:name w:val="TOC Heading"/>
    <w:basedOn w:val="Heading1"/>
    <w:next w:val="Normal"/>
    <w:uiPriority w:val="39"/>
    <w:semiHidden/>
    <w:unhideWhenUsed/>
    <w:qFormat/>
    <w:rsid w:val="003264AD"/>
    <w:pPr>
      <w:spacing w:before="240" w:after="0"/>
      <w:outlineLvl w:val="9"/>
    </w:pPr>
    <w:rPr>
      <w:sz w:val="32"/>
      <w:szCs w:val="32"/>
    </w:rPr>
  </w:style>
  <w:style w:type="paragraph" w:styleId="NormalWeb">
    <w:name w:val="Normal (Web)"/>
    <w:basedOn w:val="Normal"/>
    <w:uiPriority w:val="99"/>
    <w:semiHidden/>
    <w:unhideWhenUsed/>
    <w:rsid w:val="003264AD"/>
    <w:pPr>
      <w:spacing w:before="100" w:beforeAutospacing="1" w:after="100" w:afterAutospacing="1" w:line="240" w:lineRule="auto"/>
    </w:pPr>
    <w:rPr>
      <w:rFonts w:ascii="Times New Roman" w:hAnsi="Times New Roman" w:cs="Times New Roman"/>
      <w:kern w:val="0"/>
      <w:lang w:eastAsia="en-GB"/>
      <w14:ligatures w14:val="none"/>
    </w:rPr>
  </w:style>
  <w:style w:type="table" w:styleId="GridTable4-Accent1">
    <w:name w:val="Grid Table 4 Accent 1"/>
    <w:basedOn w:val="TableNormal"/>
    <w:uiPriority w:val="49"/>
    <w:rsid w:val="00F54F3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517</Words>
  <Characters>3423</Characters>
  <Application>Microsoft Office Word</Application>
  <DocSecurity>0</DocSecurity>
  <Lines>142</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Bradley Collis</dc:creator>
  <cp:keywords/>
  <dc:description/>
  <cp:lastModifiedBy>Bradley Collis</cp:lastModifiedBy>
  <cp:revision>1</cp:revision>
  <dcterms:created xsi:type="dcterms:W3CDTF">2026-09-21T13:21:00Z</dcterms:created>
  <dcterms:modified xsi:type="dcterms:W3CDTF">2026-09-21T13:43:00Z</dcterms:modified>
</cp:coreProperties>
</file>