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896938" w14:textId="77777777" w:rsidR="00697F94" w:rsidRPr="00C916D9" w:rsidRDefault="00697F94" w:rsidP="00697F94">
      <w:pPr>
        <w:pStyle w:val="Title"/>
        <w:shd w:val="clear" w:color="auto" w:fill="00516B"/>
        <w:spacing w:line="400" w:lineRule="atLeast"/>
        <w:jc w:val="center"/>
        <w:rPr>
          <w:kern w:val="0"/>
          <w:sz w:val="72"/>
          <w:szCs w:val="72"/>
          <w:lang w:eastAsia="en-GB"/>
          <w14:ligatures w14:val="none"/>
        </w:rPr>
      </w:pPr>
      <w:r w:rsidRPr="00C916D9">
        <w:rPr>
          <w:b/>
          <w:bCs/>
          <w:color w:val="FFFFFF"/>
          <w:sz w:val="44"/>
          <w:szCs w:val="44"/>
        </w:rPr>
        <w:t>EXECUTIVE SECURITY PRIORITIES SNAPSHOT</w:t>
      </w:r>
    </w:p>
    <w:p w14:paraId="1B5CF884" w14:textId="77777777" w:rsidR="00697F94" w:rsidRPr="003F0005" w:rsidRDefault="00697F94">
      <w:pPr>
        <w:pStyle w:val="Subtitle"/>
        <w:jc w:val="center"/>
        <w:rPr>
          <w:kern w:val="0"/>
          <w:sz w:val="36"/>
          <w:szCs w:val="36"/>
          <w:lang w:eastAsia="en-GB"/>
          <w14:ligatures w14:val="none"/>
        </w:rPr>
      </w:pPr>
      <w:r w:rsidRPr="003F0005">
        <w:rPr>
          <w:color w:val="00516B"/>
          <w:sz w:val="21"/>
          <w:szCs w:val="21"/>
        </w:rPr>
        <w:t>Board-level summary template aligned to the full Cybersecurity Maturity Assessment report.</w:t>
      </w:r>
    </w:p>
    <w:tbl>
      <w:tblPr>
        <w:tblStyle w:val="GridTable4-Accent1"/>
        <w:tblW w:w="5000" w:type="pct"/>
        <w:tblLook w:val="04A0" w:firstRow="1" w:lastRow="0" w:firstColumn="1" w:lastColumn="0" w:noHBand="0" w:noVBand="1"/>
      </w:tblPr>
      <w:tblGrid>
        <w:gridCol w:w="768"/>
        <w:gridCol w:w="2692"/>
        <w:gridCol w:w="813"/>
        <w:gridCol w:w="3135"/>
        <w:gridCol w:w="1417"/>
        <w:gridCol w:w="1631"/>
      </w:tblGrid>
      <w:tr w:rsidR="00697F94" w:rsidRPr="006E2FF6" w14:paraId="2EF966F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tcBorders>
            <w:shd w:val="clear" w:color="auto" w:fill="00516B"/>
            <w:tcMar>
              <w:top w:w="0" w:type="dxa"/>
              <w:left w:w="40" w:type="dxa"/>
              <w:bottom w:w="0" w:type="dxa"/>
              <w:right w:w="40" w:type="dxa"/>
            </w:tcMar>
            <w:hideMark/>
          </w:tcPr>
          <w:p w14:paraId="4B5FFB7B" w14:textId="77777777" w:rsidR="00697F94" w:rsidRPr="006E2FF6" w:rsidRDefault="00697F94">
            <w:pPr>
              <w:spacing w:after="0" w:line="160" w:lineRule="atLeast"/>
              <w:rPr>
                <w:kern w:val="0"/>
                <w:sz w:val="22"/>
                <w:szCs w:val="22"/>
                <w:lang w:eastAsia="en-GB"/>
                <w14:ligatures w14:val="none"/>
              </w:rPr>
            </w:pPr>
            <w:r w:rsidRPr="006E2FF6">
              <w:rPr>
                <w:color w:val="FFFFFF"/>
                <w:sz w:val="22"/>
                <w:szCs w:val="22"/>
              </w:rPr>
              <w:t>Client</w:t>
            </w:r>
          </w:p>
        </w:tc>
        <w:tc>
          <w:tcPr>
            <w:tcW w:w="0" w:type="auto"/>
            <w:tcBorders>
              <w:top w:val="single" w:sz="4" w:space="0" w:color="156082"/>
              <w:bottom w:val="single" w:sz="4" w:space="0" w:color="156082"/>
            </w:tcBorders>
            <w:shd w:val="clear" w:color="auto" w:fill="156082"/>
            <w:tcMar>
              <w:top w:w="0" w:type="dxa"/>
              <w:left w:w="40" w:type="dxa"/>
              <w:bottom w:w="0" w:type="dxa"/>
              <w:right w:w="40" w:type="dxa"/>
            </w:tcMar>
            <w:hideMark/>
          </w:tcPr>
          <w:p w14:paraId="3C3F76C6" w14:textId="68B7FF6D" w:rsidR="00697F94" w:rsidRPr="00F32C6E" w:rsidRDefault="00F32C6E" w:rsidP="00F32C6E">
            <w:pPr>
              <w:spacing w:after="0"/>
              <w:cnfStyle w:val="100000000000" w:firstRow="1" w:lastRow="0" w:firstColumn="0" w:lastColumn="0" w:oddVBand="0" w:evenVBand="0" w:oddHBand="0" w:evenHBand="0" w:firstRowFirstColumn="0" w:firstRowLastColumn="0" w:lastRowFirstColumn="0" w:lastRowLastColumn="0"/>
              <w:rPr>
                <w:kern w:val="0"/>
                <w:sz w:val="22"/>
                <w:szCs w:val="18"/>
                <w:lang w:eastAsia="en-GB"/>
                <w14:ligatures w14:val="none"/>
              </w:rPr>
            </w:pPr>
            <w:r>
              <w:rPr>
                <w:sz w:val="22"/>
                <w:szCs w:val="22"/>
              </w:rPr>
              <w:t>Northbridge Trading Ltd</w:t>
            </w:r>
          </w:p>
        </w:tc>
        <w:tc>
          <w:tcPr>
            <w:tcW w:w="0" w:type="auto"/>
            <w:tcBorders>
              <w:top w:val="single" w:sz="4" w:space="0" w:color="156082"/>
              <w:bottom w:val="single" w:sz="4" w:space="0" w:color="156082"/>
            </w:tcBorders>
            <w:shd w:val="clear" w:color="auto" w:fill="00516B"/>
            <w:tcMar>
              <w:top w:w="0" w:type="dxa"/>
              <w:left w:w="40" w:type="dxa"/>
              <w:bottom w:w="0" w:type="dxa"/>
              <w:right w:w="40" w:type="dxa"/>
            </w:tcMar>
            <w:hideMark/>
          </w:tcPr>
          <w:p w14:paraId="69BC62A4" w14:textId="77777777" w:rsidR="00697F94" w:rsidRPr="006E2FF6" w:rsidRDefault="00697F94">
            <w:pPr>
              <w:spacing w:after="0" w:line="160" w:lineRule="atLeast"/>
              <w:cnfStyle w:val="100000000000" w:firstRow="1" w:lastRow="0" w:firstColumn="0" w:lastColumn="0" w:oddVBand="0" w:evenVBand="0" w:oddHBand="0" w:evenHBand="0" w:firstRowFirstColumn="0" w:firstRowLastColumn="0" w:lastRowFirstColumn="0" w:lastRowLastColumn="0"/>
              <w:rPr>
                <w:sz w:val="22"/>
                <w:szCs w:val="22"/>
              </w:rPr>
            </w:pPr>
            <w:r w:rsidRPr="006E2FF6">
              <w:rPr>
                <w:color w:val="FFFFFF"/>
                <w:sz w:val="22"/>
                <w:szCs w:val="22"/>
              </w:rPr>
              <w:t>Status</w:t>
            </w:r>
          </w:p>
        </w:tc>
        <w:tc>
          <w:tcPr>
            <w:tcW w:w="0" w:type="auto"/>
            <w:tcBorders>
              <w:top w:val="single" w:sz="4" w:space="0" w:color="156082"/>
              <w:bottom w:val="single" w:sz="4" w:space="0" w:color="156082"/>
            </w:tcBorders>
            <w:shd w:val="clear" w:color="auto" w:fill="156082"/>
            <w:tcMar>
              <w:top w:w="0" w:type="dxa"/>
              <w:left w:w="40" w:type="dxa"/>
              <w:bottom w:w="0" w:type="dxa"/>
              <w:right w:w="40" w:type="dxa"/>
            </w:tcMar>
            <w:hideMark/>
          </w:tcPr>
          <w:p w14:paraId="7B21302D" w14:textId="77777777" w:rsidR="00697F94" w:rsidRPr="006E2FF6" w:rsidRDefault="00697F94">
            <w:pPr>
              <w:spacing w:after="0" w:line="160" w:lineRule="atLeast"/>
              <w:cnfStyle w:val="100000000000" w:firstRow="1" w:lastRow="0" w:firstColumn="0" w:lastColumn="0" w:oddVBand="0" w:evenVBand="0" w:oddHBand="0" w:evenHBand="0" w:firstRowFirstColumn="0" w:firstRowLastColumn="0" w:lastRowFirstColumn="0" w:lastRowLastColumn="0"/>
              <w:rPr>
                <w:sz w:val="22"/>
                <w:szCs w:val="22"/>
              </w:rPr>
            </w:pPr>
            <w:r w:rsidRPr="006E2FF6">
              <w:rPr>
                <w:sz w:val="22"/>
                <w:szCs w:val="22"/>
              </w:rPr>
              <w:t>Executive Summary Extract</w:t>
            </w:r>
          </w:p>
        </w:tc>
        <w:tc>
          <w:tcPr>
            <w:tcW w:w="0" w:type="auto"/>
            <w:tcBorders>
              <w:top w:val="single" w:sz="4" w:space="0" w:color="156082"/>
              <w:bottom w:val="single" w:sz="4" w:space="0" w:color="156082"/>
            </w:tcBorders>
            <w:shd w:val="clear" w:color="auto" w:fill="00516B"/>
            <w:tcMar>
              <w:top w:w="0" w:type="dxa"/>
              <w:left w:w="40" w:type="dxa"/>
              <w:bottom w:w="0" w:type="dxa"/>
              <w:right w:w="40" w:type="dxa"/>
            </w:tcMar>
            <w:hideMark/>
          </w:tcPr>
          <w:p w14:paraId="43421F31" w14:textId="77777777" w:rsidR="00697F94" w:rsidRPr="006E2FF6" w:rsidRDefault="00697F94">
            <w:pPr>
              <w:spacing w:after="0" w:line="160" w:lineRule="atLeast"/>
              <w:cnfStyle w:val="100000000000" w:firstRow="1" w:lastRow="0" w:firstColumn="0" w:lastColumn="0" w:oddVBand="0" w:evenVBand="0" w:oddHBand="0" w:evenHBand="0" w:firstRowFirstColumn="0" w:firstRowLastColumn="0" w:lastRowFirstColumn="0" w:lastRowLastColumn="0"/>
              <w:rPr>
                <w:sz w:val="22"/>
                <w:szCs w:val="22"/>
              </w:rPr>
            </w:pPr>
            <w:r w:rsidRPr="006E2FF6">
              <w:rPr>
                <w:color w:val="FFFFFF"/>
                <w:sz w:val="22"/>
                <w:szCs w:val="22"/>
              </w:rPr>
              <w:t>Prepared by</w:t>
            </w:r>
          </w:p>
        </w:tc>
        <w:tc>
          <w:tcPr>
            <w:tcW w:w="0" w:type="auto"/>
            <w:tcBorders>
              <w:top w:val="single" w:sz="4" w:space="0" w:color="156082"/>
              <w:bottom w:val="single" w:sz="4" w:space="0" w:color="156082"/>
              <w:right w:val="single" w:sz="4" w:space="0" w:color="156082"/>
            </w:tcBorders>
            <w:shd w:val="clear" w:color="auto" w:fill="156082"/>
            <w:tcMar>
              <w:top w:w="0" w:type="dxa"/>
              <w:left w:w="40" w:type="dxa"/>
              <w:bottom w:w="0" w:type="dxa"/>
              <w:right w:w="40" w:type="dxa"/>
            </w:tcMar>
            <w:hideMark/>
          </w:tcPr>
          <w:p w14:paraId="5AB36368" w14:textId="77777777" w:rsidR="00697F94" w:rsidRPr="006E2FF6" w:rsidRDefault="00697F94">
            <w:pPr>
              <w:spacing w:after="0" w:line="160" w:lineRule="atLeast"/>
              <w:cnfStyle w:val="100000000000" w:firstRow="1" w:lastRow="0" w:firstColumn="0" w:lastColumn="0" w:oddVBand="0" w:evenVBand="0" w:oddHBand="0" w:evenHBand="0" w:firstRowFirstColumn="0" w:firstRowLastColumn="0" w:lastRowFirstColumn="0" w:lastRowLastColumn="0"/>
              <w:rPr>
                <w:sz w:val="22"/>
                <w:szCs w:val="22"/>
              </w:rPr>
            </w:pPr>
            <w:r w:rsidRPr="006E2FF6">
              <w:rPr>
                <w:sz w:val="22"/>
                <w:szCs w:val="22"/>
              </w:rPr>
              <w:t>Bradley Collis</w:t>
            </w:r>
          </w:p>
        </w:tc>
      </w:tr>
    </w:tbl>
    <w:p w14:paraId="411E7A7F" w14:textId="77777777" w:rsidR="00F54F30" w:rsidRPr="003F0005" w:rsidRDefault="00F54F30">
      <w:pPr>
        <w:pStyle w:val="Heading1"/>
        <w:rPr>
          <w:rFonts w:asciiTheme="minorHAnsi" w:hAnsiTheme="minorHAnsi" w:cstheme="minorBidi"/>
          <w:kern w:val="36"/>
          <w:sz w:val="56"/>
          <w:szCs w:val="56"/>
          <w:lang w:eastAsia="en-GB"/>
          <w14:ligatures w14:val="none"/>
        </w:rPr>
      </w:pPr>
      <w:r w:rsidRPr="003F0005">
        <w:rPr>
          <w:rFonts w:asciiTheme="minorHAnsi" w:hAnsiTheme="minorHAnsi" w:cstheme="minorBidi"/>
          <w:sz w:val="32"/>
          <w:szCs w:val="48"/>
        </w:rPr>
        <w:t>Executive Summary</w:t>
      </w:r>
    </w:p>
    <w:p w14:paraId="430BE641" w14:textId="77777777" w:rsidR="00F32C6E" w:rsidRDefault="00F32C6E">
      <w:pPr>
        <w:shd w:val="clear" w:color="auto" w:fill="EAF3F8"/>
        <w:spacing w:after="0"/>
        <w:rPr>
          <w:kern w:val="0"/>
          <w:szCs w:val="18"/>
          <w:lang w:eastAsia="en-GB"/>
          <w14:ligatures w14:val="none"/>
        </w:rPr>
      </w:pPr>
      <w:r>
        <w:rPr>
          <w:color w:val="000000"/>
          <w:sz w:val="20"/>
          <w:szCs w:val="20"/>
        </w:rPr>
        <w:t>Northbridge Trading Ltd has a credible security baseline, supported by Fortinet-managed perimeter controls, Webroot EDR, Kanji/</w:t>
      </w:r>
      <w:proofErr w:type="spellStart"/>
      <w:r>
        <w:rPr>
          <w:color w:val="000000"/>
          <w:sz w:val="20"/>
          <w:szCs w:val="20"/>
        </w:rPr>
        <w:t>Iru</w:t>
      </w:r>
      <w:proofErr w:type="spellEnd"/>
      <w:r>
        <w:rPr>
          <w:color w:val="000000"/>
          <w:sz w:val="20"/>
          <w:szCs w:val="20"/>
        </w:rPr>
        <w:t xml:space="preserve"> patching, Veeam and QNAP recovery foundations, annual penetration testing, Cyber Essentials Plus activity and broad Google SSO adoption. The assessment identifies three executive priorities that now require focused action: out-of-hours monitoring and response, incident and recovery readiness, and FTP and privileged-access controls. These gaps do not indicate a need for wholesale replacement, but they do create avoidable uncertainty around containment speed, recovery sequencing and customer-data protection during a material incident.</w:t>
      </w:r>
    </w:p>
    <w:p w14:paraId="52B58684" w14:textId="4DA4768A" w:rsidR="00697F94" w:rsidRPr="003F0005" w:rsidRDefault="00697F94">
      <w:pPr>
        <w:shd w:val="clear" w:color="auto" w:fill="FCE4D6"/>
        <w:spacing w:after="0" w:line="180" w:lineRule="atLeast"/>
        <w:rPr>
          <w:kern w:val="0"/>
          <w:sz w:val="21"/>
          <w:szCs w:val="21"/>
          <w:lang w:eastAsia="en-GB"/>
          <w14:ligatures w14:val="none"/>
        </w:rPr>
      </w:pPr>
      <w:r w:rsidRPr="003F0005">
        <w:rPr>
          <w:b/>
          <w:bCs/>
          <w:color w:val="000000"/>
          <w:sz w:val="20"/>
          <w:szCs w:val="20"/>
        </w:rPr>
        <w:t>Executive decision required:</w:t>
      </w:r>
      <w:r w:rsidRPr="003F0005">
        <w:rPr>
          <w:color w:val="000000"/>
          <w:sz w:val="20"/>
          <w:szCs w:val="20"/>
        </w:rPr>
        <w:t xml:space="preserve"> approve a scoped discovery and remediation planning exercise covering MDR readiness, incident-response rehearsal, FTP remediation, vulnerability visibility and Google Workspace recovery assurance. This will confirm costs, sequencing, ownership and decision points for funded change.</w:t>
      </w:r>
    </w:p>
    <w:p w14:paraId="719308B8" w14:textId="77777777" w:rsidR="007850CA" w:rsidRPr="003F0005" w:rsidRDefault="007850CA">
      <w:pPr>
        <w:spacing w:after="0" w:line="180" w:lineRule="atLeast"/>
        <w:rPr>
          <w:b/>
          <w:bCs/>
          <w:sz w:val="20"/>
          <w:szCs w:val="20"/>
        </w:rPr>
      </w:pPr>
    </w:p>
    <w:p w14:paraId="2FEBCDA0" w14:textId="07A9332A" w:rsidR="007850CA" w:rsidRPr="003F0005" w:rsidRDefault="00EE5F97" w:rsidP="00EE5F97">
      <w:pPr>
        <w:spacing w:after="0" w:line="180" w:lineRule="atLeast"/>
        <w:jc w:val="center"/>
        <w:rPr>
          <w:b/>
          <w:bCs/>
          <w:sz w:val="20"/>
          <w:szCs w:val="20"/>
        </w:rPr>
      </w:pPr>
      <w:r w:rsidRPr="003F0005">
        <w:rPr>
          <w:rFonts w:asciiTheme="minorHAnsi" w:hAnsiTheme="minorHAnsi"/>
          <w:noProof/>
          <w:sz w:val="21"/>
          <w:szCs w:val="32"/>
        </w:rPr>
        <w:drawing>
          <wp:inline distT="0" distB="0" distL="0" distR="0" wp14:anchorId="011C836A" wp14:editId="0CF9AC7C">
            <wp:extent cx="2224044" cy="148296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69934" cy="1513561"/>
                    </a:xfrm>
                    <a:prstGeom prst="rect">
                      <a:avLst/>
                    </a:prstGeom>
                    <a:noFill/>
                    <a:ln>
                      <a:noFill/>
                    </a:ln>
                  </pic:spPr>
                </pic:pic>
              </a:graphicData>
            </a:graphic>
          </wp:inline>
        </w:drawing>
      </w:r>
    </w:p>
    <w:p w14:paraId="13BBD1B3" w14:textId="4C1A0EB5" w:rsidR="00697F94" w:rsidRPr="003F0005" w:rsidRDefault="00697F94">
      <w:pPr>
        <w:spacing w:after="0" w:line="180" w:lineRule="atLeast"/>
        <w:rPr>
          <w:kern w:val="0"/>
          <w:sz w:val="21"/>
          <w:szCs w:val="21"/>
          <w:lang w:eastAsia="en-GB"/>
          <w14:ligatures w14:val="none"/>
        </w:rPr>
      </w:pPr>
      <w:r w:rsidRPr="003F0005">
        <w:rPr>
          <w:b/>
          <w:bCs/>
          <w:sz w:val="20"/>
          <w:szCs w:val="20"/>
        </w:rPr>
        <w:t>Overall indicative weighted score: 60/100 – Established, with targeted gaps requiring validation</w:t>
      </w:r>
    </w:p>
    <w:p w14:paraId="468A3AFD" w14:textId="77777777" w:rsidR="00697F94" w:rsidRPr="003F0005" w:rsidRDefault="00697F94">
      <w:pPr>
        <w:spacing w:line="180" w:lineRule="atLeast"/>
        <w:rPr>
          <w:kern w:val="0"/>
          <w:sz w:val="21"/>
          <w:szCs w:val="21"/>
          <w:lang w:eastAsia="en-GB"/>
          <w14:ligatures w14:val="none"/>
        </w:rPr>
      </w:pPr>
      <w:r w:rsidRPr="003F0005">
        <w:rPr>
          <w:sz w:val="20"/>
          <w:szCs w:val="20"/>
        </w:rPr>
        <w:t>This score is a consultant-led, point-in-time maturity judgement based on the assessment discussion and supporting notes. It is not a certification score or an independently tested technical rating. The weighting gives greater emphasis to controls that affect operational continuity, incident response, identity compromise and client-data exposure; individual domain scores should therefore be used to prioritise assurance work rather than as precise measures of control effectiveness.</w:t>
      </w:r>
    </w:p>
    <w:p w14:paraId="6B40C4E2" w14:textId="77777777" w:rsidR="00927159" w:rsidRPr="00C916D9" w:rsidRDefault="00927159" w:rsidP="00927159">
      <w:pPr>
        <w:pStyle w:val="Heading1"/>
        <w:rPr>
          <w:rFonts w:cstheme="minorBidi"/>
          <w:kern w:val="36"/>
          <w:sz w:val="28"/>
          <w:szCs w:val="28"/>
          <w:lang w:eastAsia="en-GB"/>
          <w14:ligatures w14:val="none"/>
        </w:rPr>
      </w:pPr>
      <w:r w:rsidRPr="00C916D9">
        <w:rPr>
          <w:rFonts w:cstheme="minorBidi"/>
          <w:sz w:val="28"/>
          <w:szCs w:val="44"/>
        </w:rPr>
        <w:t>Top Three Risks: RAG Prioritisation</w:t>
      </w:r>
    </w:p>
    <w:tbl>
      <w:tblPr>
        <w:tblStyle w:val="GridTable4-Accent1"/>
        <w:tblW w:w="5000" w:type="pct"/>
        <w:tblLook w:val="04A0" w:firstRow="1" w:lastRow="0" w:firstColumn="1" w:lastColumn="0" w:noHBand="0" w:noVBand="1"/>
      </w:tblPr>
      <w:tblGrid>
        <w:gridCol w:w="870"/>
        <w:gridCol w:w="852"/>
        <w:gridCol w:w="1484"/>
        <w:gridCol w:w="3980"/>
        <w:gridCol w:w="3270"/>
      </w:tblGrid>
      <w:tr w:rsidR="00DE78F9" w:rsidRPr="00087DFA" w14:paraId="5CBB65DD" w14:textId="77777777" w:rsidTr="008A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7637B" w14:textId="77777777" w:rsidR="00DE78F9" w:rsidRPr="00087DFA" w:rsidRDefault="00DE78F9">
            <w:pPr>
              <w:spacing w:after="160"/>
              <w:rPr>
                <w:color w:val="FFFFFF"/>
                <w:kern w:val="0"/>
                <w:sz w:val="20"/>
                <w:szCs w:val="20"/>
                <w:lang w:eastAsia="en-GB"/>
                <w14:ligatures w14:val="none"/>
              </w:rPr>
            </w:pPr>
            <w:r w:rsidRPr="00087DFA">
              <w:rPr>
                <w:color w:val="FFFFFF"/>
                <w:sz w:val="20"/>
                <w:szCs w:val="20"/>
              </w:rPr>
              <w:t>RAG</w:t>
            </w:r>
          </w:p>
        </w:tc>
        <w:tc>
          <w:tcPr>
            <w:tcW w:w="0" w:type="auto"/>
            <w:hideMark/>
          </w:tcPr>
          <w:p w14:paraId="5E5035EE" w14:textId="77777777" w:rsidR="00DE78F9" w:rsidRPr="00087DFA" w:rsidRDefault="00DE78F9">
            <w:pPr>
              <w:spacing w:after="160"/>
              <w:cnfStyle w:val="100000000000" w:firstRow="1" w:lastRow="0" w:firstColumn="0" w:lastColumn="0" w:oddVBand="0" w:evenVBand="0" w:oddHBand="0" w:evenHBand="0" w:firstRowFirstColumn="0" w:firstRowLastColumn="0" w:lastRowFirstColumn="0" w:lastRowLastColumn="0"/>
              <w:rPr>
                <w:color w:val="FFFFFF"/>
                <w:sz w:val="20"/>
                <w:szCs w:val="20"/>
              </w:rPr>
            </w:pPr>
            <w:r w:rsidRPr="00087DFA">
              <w:rPr>
                <w:color w:val="FFFFFF"/>
                <w:sz w:val="20"/>
                <w:szCs w:val="20"/>
              </w:rPr>
              <w:t>Weight</w:t>
            </w:r>
          </w:p>
        </w:tc>
        <w:tc>
          <w:tcPr>
            <w:tcW w:w="0" w:type="auto"/>
            <w:hideMark/>
          </w:tcPr>
          <w:p w14:paraId="4631D9E8" w14:textId="77777777" w:rsidR="00DE78F9" w:rsidRPr="00087DFA" w:rsidRDefault="00DE78F9">
            <w:pPr>
              <w:spacing w:after="160"/>
              <w:cnfStyle w:val="100000000000" w:firstRow="1" w:lastRow="0" w:firstColumn="0" w:lastColumn="0" w:oddVBand="0" w:evenVBand="0" w:oddHBand="0" w:evenHBand="0" w:firstRowFirstColumn="0" w:firstRowLastColumn="0" w:lastRowFirstColumn="0" w:lastRowLastColumn="0"/>
              <w:rPr>
                <w:color w:val="FFFFFF"/>
                <w:sz w:val="20"/>
                <w:szCs w:val="20"/>
              </w:rPr>
            </w:pPr>
            <w:r w:rsidRPr="00087DFA">
              <w:rPr>
                <w:color w:val="FFFFFF"/>
                <w:sz w:val="20"/>
                <w:szCs w:val="20"/>
              </w:rPr>
              <w:t>Risk</w:t>
            </w:r>
          </w:p>
        </w:tc>
        <w:tc>
          <w:tcPr>
            <w:tcW w:w="0" w:type="auto"/>
            <w:hideMark/>
          </w:tcPr>
          <w:p w14:paraId="01816916" w14:textId="77777777" w:rsidR="00DE78F9" w:rsidRPr="00087DFA" w:rsidRDefault="00DE78F9">
            <w:pPr>
              <w:spacing w:after="160"/>
              <w:cnfStyle w:val="100000000000" w:firstRow="1" w:lastRow="0" w:firstColumn="0" w:lastColumn="0" w:oddVBand="0" w:evenVBand="0" w:oddHBand="0" w:evenHBand="0" w:firstRowFirstColumn="0" w:firstRowLastColumn="0" w:lastRowFirstColumn="0" w:lastRowLastColumn="0"/>
              <w:rPr>
                <w:color w:val="FFFFFF"/>
                <w:sz w:val="20"/>
                <w:szCs w:val="20"/>
              </w:rPr>
            </w:pPr>
            <w:r w:rsidRPr="00087DFA">
              <w:rPr>
                <w:color w:val="FFFFFF"/>
                <w:sz w:val="20"/>
                <w:szCs w:val="20"/>
              </w:rPr>
              <w:t>Current Position / Impact</w:t>
            </w:r>
          </w:p>
        </w:tc>
        <w:tc>
          <w:tcPr>
            <w:tcW w:w="0" w:type="auto"/>
            <w:hideMark/>
          </w:tcPr>
          <w:p w14:paraId="5CA90F43" w14:textId="77777777" w:rsidR="00DE78F9" w:rsidRPr="00087DFA" w:rsidRDefault="00DE78F9">
            <w:pPr>
              <w:spacing w:after="160"/>
              <w:cnfStyle w:val="100000000000" w:firstRow="1" w:lastRow="0" w:firstColumn="0" w:lastColumn="0" w:oddVBand="0" w:evenVBand="0" w:oddHBand="0" w:evenHBand="0" w:firstRowFirstColumn="0" w:firstRowLastColumn="0" w:lastRowFirstColumn="0" w:lastRowLastColumn="0"/>
              <w:rPr>
                <w:color w:val="FFFFFF"/>
                <w:sz w:val="20"/>
                <w:szCs w:val="20"/>
              </w:rPr>
            </w:pPr>
            <w:r w:rsidRPr="00087DFA">
              <w:rPr>
                <w:color w:val="FFFFFF"/>
                <w:sz w:val="20"/>
                <w:szCs w:val="20"/>
              </w:rPr>
              <w:t>Recommended Solution</w:t>
            </w:r>
          </w:p>
        </w:tc>
      </w:tr>
      <w:tr w:rsidR="00DE78F9" w:rsidRPr="00087DFA" w14:paraId="64DB06B2" w14:textId="77777777" w:rsidTr="00393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0000"/>
              <w:left w:val="single" w:sz="4" w:space="0" w:color="7F0000"/>
              <w:bottom w:val="single" w:sz="4" w:space="0" w:color="7F0000"/>
              <w:right w:val="single" w:sz="4" w:space="0" w:color="7F0000"/>
            </w:tcBorders>
            <w:shd w:val="clear" w:color="auto" w:fill="C00000"/>
            <w:tcMar>
              <w:top w:w="0" w:type="dxa"/>
              <w:left w:w="108" w:type="dxa"/>
              <w:bottom w:w="0" w:type="dxa"/>
              <w:right w:w="108" w:type="dxa"/>
            </w:tcMar>
            <w:hideMark/>
          </w:tcPr>
          <w:p w14:paraId="1C3FC380" w14:textId="75824F9E" w:rsidR="00DE78F9" w:rsidRPr="00087DFA" w:rsidRDefault="00393C78" w:rsidP="00393C78">
            <w:pPr>
              <w:spacing w:after="160"/>
              <w:jc w:val="center"/>
              <w:rPr>
                <w:color w:val="FFFFFF" w:themeColor="background1"/>
                <w:sz w:val="20"/>
                <w:szCs w:val="20"/>
              </w:rPr>
            </w:pPr>
            <w:r w:rsidRPr="00087DFA">
              <w:rPr>
                <w:color w:val="FFFFFF"/>
                <w:sz w:val="20"/>
                <w:szCs w:val="20"/>
              </w:rPr>
              <w:t>RED</w:t>
            </w:r>
          </w:p>
        </w:tc>
        <w:tc>
          <w:tcPr>
            <w:tcW w:w="0" w:type="auto"/>
            <w:tcBorders>
              <w:top w:val="single" w:sz="4" w:space="0" w:color="7F0000"/>
              <w:left w:val="single" w:sz="4" w:space="0" w:color="7F0000"/>
              <w:bottom w:val="single" w:sz="4" w:space="0" w:color="7F0000"/>
              <w:right w:val="single" w:sz="4" w:space="0" w:color="7F0000"/>
            </w:tcBorders>
            <w:shd w:val="clear" w:color="auto" w:fill="F4CCCC"/>
            <w:tcMar>
              <w:top w:w="0" w:type="dxa"/>
              <w:left w:w="108" w:type="dxa"/>
              <w:bottom w:w="0" w:type="dxa"/>
              <w:right w:w="108" w:type="dxa"/>
            </w:tcMar>
            <w:hideMark/>
          </w:tcPr>
          <w:p w14:paraId="553BD4C6" w14:textId="0B0F74BA" w:rsidR="00DE78F9" w:rsidRPr="00087DFA" w:rsidRDefault="00393C78" w:rsidP="00393C78">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20"/>
              </w:rPr>
            </w:pPr>
            <w:r w:rsidRPr="00087DFA">
              <w:rPr>
                <w:b/>
                <w:bCs/>
                <w:color w:val="000000"/>
                <w:sz w:val="20"/>
                <w:szCs w:val="20"/>
              </w:rPr>
              <w:t>40%</w:t>
            </w:r>
          </w:p>
        </w:tc>
        <w:tc>
          <w:tcPr>
            <w:tcW w:w="0" w:type="auto"/>
            <w:tcBorders>
              <w:top w:val="single" w:sz="4" w:space="0" w:color="7F0000"/>
              <w:left w:val="single" w:sz="4" w:space="0" w:color="7F0000"/>
              <w:bottom w:val="single" w:sz="4" w:space="0" w:color="7F0000"/>
              <w:right w:val="single" w:sz="4" w:space="0" w:color="7F0000"/>
            </w:tcBorders>
            <w:shd w:val="clear" w:color="auto" w:fill="F4CCCC"/>
            <w:tcMar>
              <w:top w:w="0" w:type="dxa"/>
              <w:left w:w="108" w:type="dxa"/>
              <w:bottom w:w="0" w:type="dxa"/>
              <w:right w:w="108" w:type="dxa"/>
            </w:tcMar>
            <w:hideMark/>
          </w:tcPr>
          <w:p w14:paraId="735E9082" w14:textId="3125BB71" w:rsidR="00DE78F9" w:rsidRPr="00087DFA" w:rsidRDefault="00393C78" w:rsidP="00393C78">
            <w:pPr>
              <w:cnfStyle w:val="000000100000" w:firstRow="0" w:lastRow="0" w:firstColumn="0" w:lastColumn="0" w:oddVBand="0" w:evenVBand="0" w:oddHBand="1" w:evenHBand="0" w:firstRowFirstColumn="0" w:firstRowLastColumn="0" w:lastRowFirstColumn="0" w:lastRowLastColumn="0"/>
              <w:rPr>
                <w:color w:val="FFFFFF" w:themeColor="background1"/>
                <w:sz w:val="20"/>
                <w:szCs w:val="20"/>
              </w:rPr>
            </w:pPr>
            <w:r w:rsidRPr="00087DFA">
              <w:rPr>
                <w:b/>
                <w:bCs/>
                <w:color w:val="000000"/>
                <w:sz w:val="20"/>
                <w:szCs w:val="20"/>
              </w:rPr>
              <w:t>Out-of-hours monitoring and response</w:t>
            </w:r>
          </w:p>
        </w:tc>
        <w:tc>
          <w:tcPr>
            <w:tcW w:w="0" w:type="auto"/>
            <w:tcBorders>
              <w:top w:val="single" w:sz="4" w:space="0" w:color="7F0000"/>
              <w:left w:val="single" w:sz="4" w:space="0" w:color="7F0000"/>
              <w:bottom w:val="single" w:sz="4" w:space="0" w:color="7F0000"/>
              <w:right w:val="single" w:sz="4" w:space="0" w:color="7F0000"/>
            </w:tcBorders>
            <w:shd w:val="clear" w:color="auto" w:fill="F4CCCC"/>
            <w:tcMar>
              <w:top w:w="0" w:type="dxa"/>
              <w:left w:w="108" w:type="dxa"/>
              <w:bottom w:w="0" w:type="dxa"/>
              <w:right w:w="108" w:type="dxa"/>
            </w:tcMar>
            <w:hideMark/>
          </w:tcPr>
          <w:p w14:paraId="0DDAD09A" w14:textId="6A961AB7" w:rsidR="00DE78F9" w:rsidRPr="00087DFA" w:rsidRDefault="00393C78" w:rsidP="00393C78">
            <w:pPr>
              <w:cnfStyle w:val="000000100000" w:firstRow="0" w:lastRow="0" w:firstColumn="0" w:lastColumn="0" w:oddVBand="0" w:evenVBand="0" w:oddHBand="1" w:evenHBand="0" w:firstRowFirstColumn="0" w:firstRowLastColumn="0" w:lastRowFirstColumn="0" w:lastRowLastColumn="0"/>
              <w:rPr>
                <w:color w:val="FFFFFF" w:themeColor="background1"/>
                <w:sz w:val="20"/>
                <w:szCs w:val="20"/>
              </w:rPr>
            </w:pPr>
            <w:r w:rsidRPr="00087DFA">
              <w:rPr>
                <w:color w:val="000000"/>
                <w:sz w:val="20"/>
                <w:szCs w:val="20"/>
              </w:rPr>
              <w:t>Working-hours review is in place through Freshdesk, Webroot and Google Workspace, but there is no dedicated 24/7 SOC or MDR coverage. Overnight or weekend incidents may therefore take longer to identify, investigate and contain.</w:t>
            </w:r>
          </w:p>
        </w:tc>
        <w:tc>
          <w:tcPr>
            <w:tcW w:w="0" w:type="auto"/>
            <w:tcBorders>
              <w:top w:val="single" w:sz="4" w:space="0" w:color="7F0000"/>
              <w:left w:val="single" w:sz="4" w:space="0" w:color="7F0000"/>
              <w:bottom w:val="single" w:sz="4" w:space="0" w:color="7F0000"/>
              <w:right w:val="single" w:sz="4" w:space="0" w:color="7F0000"/>
            </w:tcBorders>
            <w:shd w:val="clear" w:color="auto" w:fill="F4CCCC"/>
            <w:tcMar>
              <w:top w:w="0" w:type="dxa"/>
              <w:left w:w="108" w:type="dxa"/>
              <w:bottom w:w="0" w:type="dxa"/>
              <w:right w:w="108" w:type="dxa"/>
            </w:tcMar>
            <w:hideMark/>
          </w:tcPr>
          <w:p w14:paraId="1E8163B6" w14:textId="1C3B4E51" w:rsidR="00DE78F9" w:rsidRPr="00087DFA" w:rsidRDefault="00393C78" w:rsidP="00393C78">
            <w:pPr>
              <w:cnfStyle w:val="000000100000" w:firstRow="0" w:lastRow="0" w:firstColumn="0" w:lastColumn="0" w:oddVBand="0" w:evenVBand="0" w:oddHBand="1" w:evenHBand="0" w:firstRowFirstColumn="0" w:firstRowLastColumn="0" w:lastRowFirstColumn="0" w:lastRowLastColumn="0"/>
              <w:rPr>
                <w:color w:val="FFFFFF" w:themeColor="background1"/>
                <w:sz w:val="20"/>
                <w:szCs w:val="20"/>
              </w:rPr>
            </w:pPr>
            <w:r w:rsidRPr="00087DFA">
              <w:rPr>
                <w:color w:val="000000"/>
                <w:sz w:val="20"/>
                <w:szCs w:val="20"/>
              </w:rPr>
              <w:t xml:space="preserve">Validate endpoint, firewall, Google Workspace, Freshdesk, email and cloud telemetry; define escalation and containment authority; and compare internal, </w:t>
            </w:r>
            <w:proofErr w:type="gramStart"/>
            <w:r w:rsidRPr="00087DFA">
              <w:rPr>
                <w:color w:val="000000"/>
                <w:sz w:val="20"/>
                <w:szCs w:val="20"/>
              </w:rPr>
              <w:t>retained-response</w:t>
            </w:r>
            <w:proofErr w:type="gramEnd"/>
            <w:r w:rsidRPr="00087DFA">
              <w:rPr>
                <w:color w:val="000000"/>
                <w:sz w:val="20"/>
                <w:szCs w:val="20"/>
              </w:rPr>
              <w:t xml:space="preserve"> and MDR options.</w:t>
            </w:r>
          </w:p>
        </w:tc>
      </w:tr>
      <w:tr w:rsidR="00DE78F9" w:rsidRPr="00087DFA" w14:paraId="5C9174A7" w14:textId="77777777" w:rsidTr="00393C7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D9A300"/>
              <w:left w:val="single" w:sz="4" w:space="0" w:color="D9A300"/>
              <w:bottom w:val="single" w:sz="4" w:space="0" w:color="D9A300"/>
              <w:right w:val="single" w:sz="4" w:space="0" w:color="D9A300"/>
            </w:tcBorders>
            <w:shd w:val="clear" w:color="auto" w:fill="FFC000"/>
            <w:tcMar>
              <w:top w:w="0" w:type="dxa"/>
              <w:left w:w="108" w:type="dxa"/>
              <w:bottom w:w="0" w:type="dxa"/>
              <w:right w:w="108" w:type="dxa"/>
            </w:tcMar>
            <w:hideMark/>
          </w:tcPr>
          <w:p w14:paraId="419CC2BD" w14:textId="0D84E2F1" w:rsidR="00DE78F9" w:rsidRPr="00087DFA" w:rsidRDefault="00393C78" w:rsidP="00393C78">
            <w:pPr>
              <w:spacing w:after="160"/>
              <w:jc w:val="center"/>
              <w:rPr>
                <w:color w:val="000000"/>
                <w:sz w:val="20"/>
                <w:szCs w:val="20"/>
              </w:rPr>
            </w:pPr>
            <w:r w:rsidRPr="00087DFA">
              <w:rPr>
                <w:color w:val="000000"/>
                <w:sz w:val="20"/>
                <w:szCs w:val="20"/>
              </w:rPr>
              <w:t>AMBER</w:t>
            </w:r>
          </w:p>
        </w:tc>
        <w:tc>
          <w:tcPr>
            <w:tcW w:w="0" w:type="auto"/>
            <w:tcBorders>
              <w:top w:val="single" w:sz="4" w:space="0" w:color="D9A300"/>
              <w:left w:val="single" w:sz="4" w:space="0" w:color="D9A300"/>
              <w:bottom w:val="single" w:sz="4" w:space="0" w:color="D9A300"/>
              <w:right w:val="single" w:sz="4" w:space="0" w:color="D9A300"/>
            </w:tcBorders>
            <w:shd w:val="clear" w:color="auto" w:fill="FFF2CC"/>
            <w:tcMar>
              <w:top w:w="0" w:type="dxa"/>
              <w:left w:w="108" w:type="dxa"/>
              <w:bottom w:w="0" w:type="dxa"/>
              <w:right w:w="108" w:type="dxa"/>
            </w:tcMar>
            <w:hideMark/>
          </w:tcPr>
          <w:p w14:paraId="35E7B1F7" w14:textId="50C7A0CC" w:rsidR="00DE78F9" w:rsidRPr="00087DFA" w:rsidRDefault="00393C78" w:rsidP="00393C78">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DFA">
              <w:rPr>
                <w:b/>
                <w:bCs/>
                <w:color w:val="000000"/>
                <w:sz w:val="20"/>
                <w:szCs w:val="20"/>
              </w:rPr>
              <w:t>35%</w:t>
            </w:r>
          </w:p>
        </w:tc>
        <w:tc>
          <w:tcPr>
            <w:tcW w:w="0" w:type="auto"/>
            <w:tcBorders>
              <w:top w:val="single" w:sz="4" w:space="0" w:color="D9A300"/>
              <w:left w:val="single" w:sz="4" w:space="0" w:color="D9A300"/>
              <w:bottom w:val="single" w:sz="4" w:space="0" w:color="D9A300"/>
              <w:right w:val="single" w:sz="4" w:space="0" w:color="D9A300"/>
            </w:tcBorders>
            <w:shd w:val="clear" w:color="auto" w:fill="FFF2CC"/>
            <w:tcMar>
              <w:top w:w="0" w:type="dxa"/>
              <w:left w:w="108" w:type="dxa"/>
              <w:bottom w:w="0" w:type="dxa"/>
              <w:right w:w="108" w:type="dxa"/>
            </w:tcMar>
            <w:hideMark/>
          </w:tcPr>
          <w:p w14:paraId="14A31A63" w14:textId="43267D63" w:rsidR="00DE78F9" w:rsidRPr="00087DFA" w:rsidRDefault="00393C78" w:rsidP="00393C78">
            <w:pPr>
              <w:cnfStyle w:val="000000000000" w:firstRow="0" w:lastRow="0" w:firstColumn="0" w:lastColumn="0" w:oddVBand="0" w:evenVBand="0" w:oddHBand="0" w:evenHBand="0" w:firstRowFirstColumn="0" w:firstRowLastColumn="0" w:lastRowFirstColumn="0" w:lastRowLastColumn="0"/>
              <w:rPr>
                <w:sz w:val="20"/>
                <w:szCs w:val="20"/>
              </w:rPr>
            </w:pPr>
            <w:r w:rsidRPr="00087DFA">
              <w:rPr>
                <w:b/>
                <w:bCs/>
                <w:color w:val="000000"/>
                <w:sz w:val="20"/>
                <w:szCs w:val="20"/>
              </w:rPr>
              <w:t>Incident and recovery readiness</w:t>
            </w:r>
          </w:p>
        </w:tc>
        <w:tc>
          <w:tcPr>
            <w:tcW w:w="0" w:type="auto"/>
            <w:tcBorders>
              <w:top w:val="single" w:sz="4" w:space="0" w:color="D9A300"/>
              <w:left w:val="single" w:sz="4" w:space="0" w:color="D9A300"/>
              <w:bottom w:val="single" w:sz="4" w:space="0" w:color="D9A300"/>
              <w:right w:val="single" w:sz="4" w:space="0" w:color="D9A300"/>
            </w:tcBorders>
            <w:shd w:val="clear" w:color="auto" w:fill="FFF2CC"/>
            <w:tcMar>
              <w:top w:w="0" w:type="dxa"/>
              <w:left w:w="108" w:type="dxa"/>
              <w:bottom w:w="0" w:type="dxa"/>
              <w:right w:w="108" w:type="dxa"/>
            </w:tcMar>
            <w:hideMark/>
          </w:tcPr>
          <w:p w14:paraId="503810A5" w14:textId="4F9DFE18" w:rsidR="00DE78F9" w:rsidRPr="00087DFA" w:rsidRDefault="00393C78" w:rsidP="00393C78">
            <w:pPr>
              <w:cnfStyle w:val="000000000000" w:firstRow="0" w:lastRow="0" w:firstColumn="0" w:lastColumn="0" w:oddVBand="0" w:evenVBand="0" w:oddHBand="0" w:evenHBand="0" w:firstRowFirstColumn="0" w:firstRowLastColumn="0" w:lastRowFirstColumn="0" w:lastRowLastColumn="0"/>
              <w:rPr>
                <w:sz w:val="20"/>
                <w:szCs w:val="20"/>
              </w:rPr>
            </w:pPr>
            <w:r w:rsidRPr="00087DFA">
              <w:rPr>
                <w:color w:val="000000"/>
                <w:sz w:val="20"/>
                <w:szCs w:val="20"/>
              </w:rPr>
              <w:t xml:space="preserve">Incident-response documentation is in progress, but it has not yet been validated with directors and business </w:t>
            </w:r>
            <w:proofErr w:type="gramStart"/>
            <w:r w:rsidRPr="00087DFA">
              <w:rPr>
                <w:color w:val="000000"/>
                <w:sz w:val="20"/>
                <w:szCs w:val="20"/>
              </w:rPr>
              <w:t>decision-makers</w:t>
            </w:r>
            <w:proofErr w:type="gramEnd"/>
            <w:r w:rsidRPr="00087DFA">
              <w:rPr>
                <w:color w:val="000000"/>
                <w:sz w:val="20"/>
                <w:szCs w:val="20"/>
              </w:rPr>
              <w:t>. Recovery order, supplier escalation, insurer engagement and customer communication decisions need to be rehearsed before a live incident.</w:t>
            </w:r>
          </w:p>
        </w:tc>
        <w:tc>
          <w:tcPr>
            <w:tcW w:w="0" w:type="auto"/>
            <w:tcBorders>
              <w:top w:val="single" w:sz="4" w:space="0" w:color="D9A300"/>
              <w:left w:val="single" w:sz="4" w:space="0" w:color="D9A300"/>
              <w:bottom w:val="single" w:sz="4" w:space="0" w:color="D9A300"/>
              <w:right w:val="single" w:sz="4" w:space="0" w:color="D9A300"/>
            </w:tcBorders>
            <w:shd w:val="clear" w:color="auto" w:fill="FFF2CC"/>
            <w:tcMar>
              <w:top w:w="0" w:type="dxa"/>
              <w:left w:w="108" w:type="dxa"/>
              <w:bottom w:w="0" w:type="dxa"/>
              <w:right w:w="108" w:type="dxa"/>
            </w:tcMar>
            <w:hideMark/>
          </w:tcPr>
          <w:p w14:paraId="11E36B20" w14:textId="69CA6C70" w:rsidR="00DE78F9" w:rsidRPr="00087DFA" w:rsidRDefault="00393C78" w:rsidP="00393C78">
            <w:pPr>
              <w:cnfStyle w:val="000000000000" w:firstRow="0" w:lastRow="0" w:firstColumn="0" w:lastColumn="0" w:oddVBand="0" w:evenVBand="0" w:oddHBand="0" w:evenHBand="0" w:firstRowFirstColumn="0" w:firstRowLastColumn="0" w:lastRowFirstColumn="0" w:lastRowLastColumn="0"/>
              <w:rPr>
                <w:sz w:val="20"/>
                <w:szCs w:val="20"/>
              </w:rPr>
            </w:pPr>
            <w:r w:rsidRPr="00087DFA">
              <w:rPr>
                <w:color w:val="000000"/>
                <w:sz w:val="20"/>
                <w:szCs w:val="20"/>
              </w:rPr>
              <w:t>Run an executive tabletop exercise, agree decision owners and recovery priorities, create practical playbooks and use downtime-cost modelling to support the MDR business case.</w:t>
            </w:r>
          </w:p>
        </w:tc>
      </w:tr>
      <w:tr w:rsidR="00DE78F9" w:rsidRPr="00087DFA" w14:paraId="25624747" w14:textId="77777777" w:rsidTr="00393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D9A300"/>
              <w:left w:val="single" w:sz="4" w:space="0" w:color="D9A300"/>
              <w:bottom w:val="single" w:sz="4" w:space="0" w:color="D9A300"/>
              <w:right w:val="single" w:sz="4" w:space="0" w:color="D9A300"/>
            </w:tcBorders>
            <w:shd w:val="clear" w:color="auto" w:fill="FFC000"/>
            <w:tcMar>
              <w:top w:w="0" w:type="dxa"/>
              <w:left w:w="108" w:type="dxa"/>
              <w:bottom w:w="0" w:type="dxa"/>
              <w:right w:w="108" w:type="dxa"/>
            </w:tcMar>
            <w:hideMark/>
          </w:tcPr>
          <w:p w14:paraId="53351630" w14:textId="413C4120" w:rsidR="00DE78F9" w:rsidRPr="00087DFA" w:rsidRDefault="00393C78" w:rsidP="00393C78">
            <w:pPr>
              <w:spacing w:after="160"/>
              <w:jc w:val="center"/>
              <w:rPr>
                <w:color w:val="000000"/>
                <w:sz w:val="20"/>
                <w:szCs w:val="20"/>
              </w:rPr>
            </w:pPr>
            <w:r w:rsidRPr="00087DFA">
              <w:rPr>
                <w:color w:val="000000"/>
                <w:sz w:val="20"/>
                <w:szCs w:val="20"/>
              </w:rPr>
              <w:t>AMBER</w:t>
            </w:r>
          </w:p>
        </w:tc>
        <w:tc>
          <w:tcPr>
            <w:tcW w:w="0" w:type="auto"/>
            <w:tcBorders>
              <w:top w:val="single" w:sz="4" w:space="0" w:color="D9A300"/>
              <w:left w:val="single" w:sz="4" w:space="0" w:color="D9A300"/>
              <w:bottom w:val="single" w:sz="4" w:space="0" w:color="D9A300"/>
              <w:right w:val="single" w:sz="4" w:space="0" w:color="D9A300"/>
            </w:tcBorders>
            <w:shd w:val="clear" w:color="auto" w:fill="FFF2CC"/>
            <w:tcMar>
              <w:top w:w="0" w:type="dxa"/>
              <w:left w:w="108" w:type="dxa"/>
              <w:bottom w:w="0" w:type="dxa"/>
              <w:right w:w="108" w:type="dxa"/>
            </w:tcMar>
            <w:hideMark/>
          </w:tcPr>
          <w:p w14:paraId="36A12261" w14:textId="2AAB82F3" w:rsidR="00DE78F9" w:rsidRPr="00087DFA" w:rsidRDefault="00393C78" w:rsidP="00393C78">
            <w:pPr>
              <w:spacing w:after="160"/>
              <w:jc w:val="center"/>
              <w:cnfStyle w:val="000000100000" w:firstRow="0" w:lastRow="0" w:firstColumn="0" w:lastColumn="0" w:oddVBand="0" w:evenVBand="0" w:oddHBand="1" w:evenHBand="0" w:firstRowFirstColumn="0" w:firstRowLastColumn="0" w:lastRowFirstColumn="0" w:lastRowLastColumn="0"/>
              <w:rPr>
                <w:sz w:val="20"/>
                <w:szCs w:val="20"/>
              </w:rPr>
            </w:pPr>
            <w:r w:rsidRPr="00087DFA">
              <w:rPr>
                <w:b/>
                <w:bCs/>
                <w:color w:val="000000"/>
                <w:sz w:val="20"/>
                <w:szCs w:val="20"/>
              </w:rPr>
              <w:t>25%</w:t>
            </w:r>
          </w:p>
        </w:tc>
        <w:tc>
          <w:tcPr>
            <w:tcW w:w="0" w:type="auto"/>
            <w:tcBorders>
              <w:top w:val="single" w:sz="4" w:space="0" w:color="D9A300"/>
              <w:left w:val="single" w:sz="4" w:space="0" w:color="D9A300"/>
              <w:bottom w:val="single" w:sz="4" w:space="0" w:color="D9A300"/>
              <w:right w:val="single" w:sz="4" w:space="0" w:color="D9A300"/>
            </w:tcBorders>
            <w:shd w:val="clear" w:color="auto" w:fill="FFF2CC"/>
            <w:tcMar>
              <w:top w:w="0" w:type="dxa"/>
              <w:left w:w="108" w:type="dxa"/>
              <w:bottom w:w="0" w:type="dxa"/>
              <w:right w:w="108" w:type="dxa"/>
            </w:tcMar>
            <w:hideMark/>
          </w:tcPr>
          <w:p w14:paraId="5EB0AF24" w14:textId="598E6635" w:rsidR="00DE78F9" w:rsidRPr="00087DFA" w:rsidRDefault="00393C78" w:rsidP="00393C78">
            <w:pPr>
              <w:cnfStyle w:val="000000100000" w:firstRow="0" w:lastRow="0" w:firstColumn="0" w:lastColumn="0" w:oddVBand="0" w:evenVBand="0" w:oddHBand="1" w:evenHBand="0" w:firstRowFirstColumn="0" w:firstRowLastColumn="0" w:lastRowFirstColumn="0" w:lastRowLastColumn="0"/>
              <w:rPr>
                <w:sz w:val="20"/>
                <w:szCs w:val="20"/>
              </w:rPr>
            </w:pPr>
            <w:r w:rsidRPr="00087DFA">
              <w:rPr>
                <w:b/>
                <w:bCs/>
                <w:color w:val="000000"/>
                <w:sz w:val="20"/>
                <w:szCs w:val="20"/>
              </w:rPr>
              <w:t>FTP and privileged-access controls</w:t>
            </w:r>
          </w:p>
        </w:tc>
        <w:tc>
          <w:tcPr>
            <w:tcW w:w="0" w:type="auto"/>
            <w:tcBorders>
              <w:top w:val="single" w:sz="4" w:space="0" w:color="D9A300"/>
              <w:left w:val="single" w:sz="4" w:space="0" w:color="D9A300"/>
              <w:bottom w:val="single" w:sz="4" w:space="0" w:color="D9A300"/>
              <w:right w:val="single" w:sz="4" w:space="0" w:color="D9A300"/>
            </w:tcBorders>
            <w:shd w:val="clear" w:color="auto" w:fill="FFF2CC"/>
            <w:tcMar>
              <w:top w:w="0" w:type="dxa"/>
              <w:left w:w="108" w:type="dxa"/>
              <w:bottom w:w="0" w:type="dxa"/>
              <w:right w:w="108" w:type="dxa"/>
            </w:tcMar>
            <w:hideMark/>
          </w:tcPr>
          <w:p w14:paraId="3B3BD1FE" w14:textId="0FF52675" w:rsidR="00DE78F9" w:rsidRPr="00087DFA" w:rsidRDefault="00393C78" w:rsidP="00393C78">
            <w:pPr>
              <w:cnfStyle w:val="000000100000" w:firstRow="0" w:lastRow="0" w:firstColumn="0" w:lastColumn="0" w:oddVBand="0" w:evenVBand="0" w:oddHBand="1" w:evenHBand="0" w:firstRowFirstColumn="0" w:firstRowLastColumn="0" w:lastRowFirstColumn="0" w:lastRowLastColumn="0"/>
              <w:rPr>
                <w:sz w:val="20"/>
                <w:szCs w:val="20"/>
              </w:rPr>
            </w:pPr>
            <w:r w:rsidRPr="00087DFA">
              <w:rPr>
                <w:color w:val="000000"/>
                <w:sz w:val="20"/>
                <w:szCs w:val="20"/>
              </w:rPr>
              <w:t>Google SSO and MFA cover many supported services, but the internal FTP server remains a material MFA exception and local administrator-password renewal is not yet formalised. Compromised credentials could expose customer files and production data.</w:t>
            </w:r>
          </w:p>
        </w:tc>
        <w:tc>
          <w:tcPr>
            <w:tcW w:w="0" w:type="auto"/>
            <w:tcBorders>
              <w:top w:val="single" w:sz="4" w:space="0" w:color="D9A300"/>
              <w:left w:val="single" w:sz="4" w:space="0" w:color="D9A300"/>
              <w:bottom w:val="single" w:sz="4" w:space="0" w:color="D9A300"/>
              <w:right w:val="single" w:sz="4" w:space="0" w:color="D9A300"/>
            </w:tcBorders>
            <w:shd w:val="clear" w:color="auto" w:fill="FFF2CC"/>
            <w:tcMar>
              <w:top w:w="0" w:type="dxa"/>
              <w:left w:w="108" w:type="dxa"/>
              <w:bottom w:w="0" w:type="dxa"/>
              <w:right w:w="108" w:type="dxa"/>
            </w:tcMar>
            <w:hideMark/>
          </w:tcPr>
          <w:p w14:paraId="00F3D5EB" w14:textId="18AF7654" w:rsidR="00DE78F9" w:rsidRPr="00087DFA" w:rsidRDefault="00393C78" w:rsidP="00393C78">
            <w:pPr>
              <w:cnfStyle w:val="000000100000" w:firstRow="0" w:lastRow="0" w:firstColumn="0" w:lastColumn="0" w:oddVBand="0" w:evenVBand="0" w:oddHBand="1" w:evenHBand="0" w:firstRowFirstColumn="0" w:firstRowLastColumn="0" w:lastRowFirstColumn="0" w:lastRowLastColumn="0"/>
              <w:rPr>
                <w:sz w:val="20"/>
                <w:szCs w:val="20"/>
              </w:rPr>
            </w:pPr>
            <w:r w:rsidRPr="00087DFA">
              <w:rPr>
                <w:color w:val="000000"/>
                <w:sz w:val="20"/>
                <w:szCs w:val="20"/>
              </w:rPr>
              <w:t>Secure or replace the FTP route, formalise administrator-password renewal, document SaaS MFA exceptions and include privileged-access review within the security improvement register.</w:t>
            </w:r>
          </w:p>
        </w:tc>
      </w:tr>
    </w:tbl>
    <w:p w14:paraId="021C0836" w14:textId="77777777" w:rsidR="008A654D" w:rsidRDefault="008A654D">
      <w:pPr>
        <w:rPr>
          <w:sz w:val="21"/>
          <w:szCs w:val="32"/>
        </w:rPr>
      </w:pPr>
    </w:p>
    <w:p w14:paraId="364E885C" w14:textId="77777777" w:rsidR="00087DFA" w:rsidRDefault="00087DFA">
      <w:pPr>
        <w:rPr>
          <w:sz w:val="21"/>
          <w:szCs w:val="32"/>
        </w:rPr>
      </w:pPr>
    </w:p>
    <w:p w14:paraId="7AAB61AD" w14:textId="77777777" w:rsidR="00087DFA" w:rsidRPr="003F0005" w:rsidRDefault="00087DFA">
      <w:pPr>
        <w:rPr>
          <w:sz w:val="21"/>
          <w:szCs w:val="32"/>
        </w:rPr>
      </w:pPr>
    </w:p>
    <w:tbl>
      <w:tblPr>
        <w:tblStyle w:val="GridTable4-Accent1"/>
        <w:tblW w:w="5000" w:type="pct"/>
        <w:tblLook w:val="04A0" w:firstRow="1" w:lastRow="0" w:firstColumn="1" w:lastColumn="0" w:noHBand="0" w:noVBand="1"/>
      </w:tblPr>
      <w:tblGrid>
        <w:gridCol w:w="465"/>
        <w:gridCol w:w="3220"/>
        <w:gridCol w:w="709"/>
        <w:gridCol w:w="2874"/>
        <w:gridCol w:w="700"/>
        <w:gridCol w:w="2488"/>
      </w:tblGrid>
      <w:tr w:rsidR="008A654D" w:rsidRPr="003F0005" w14:paraId="0BF647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0000"/>
              <w:left w:val="single" w:sz="4" w:space="0" w:color="7F0000"/>
              <w:bottom w:val="single" w:sz="4" w:space="0" w:color="7F0000"/>
              <w:right w:val="single" w:sz="4" w:space="0" w:color="7F0000"/>
            </w:tcBorders>
            <w:shd w:val="clear" w:color="auto" w:fill="C00000"/>
            <w:tcMar>
              <w:top w:w="0" w:type="dxa"/>
              <w:left w:w="60" w:type="dxa"/>
              <w:bottom w:w="0" w:type="dxa"/>
              <w:right w:w="60" w:type="dxa"/>
            </w:tcMar>
            <w:hideMark/>
          </w:tcPr>
          <w:p w14:paraId="22B4F03C" w14:textId="77777777" w:rsidR="008A654D" w:rsidRPr="003F0005" w:rsidRDefault="008A654D">
            <w:pPr>
              <w:spacing w:after="0" w:line="160" w:lineRule="atLeast"/>
              <w:rPr>
                <w:kern w:val="0"/>
                <w:sz w:val="21"/>
                <w:szCs w:val="21"/>
                <w:lang w:eastAsia="en-GB"/>
                <w14:ligatures w14:val="none"/>
              </w:rPr>
            </w:pPr>
            <w:r w:rsidRPr="003F0005">
              <w:rPr>
                <w:color w:val="FFFFFF"/>
                <w:szCs w:val="18"/>
              </w:rPr>
              <w:t>RED</w:t>
            </w:r>
          </w:p>
        </w:tc>
        <w:tc>
          <w:tcPr>
            <w:tcW w:w="0" w:type="auto"/>
            <w:tcBorders>
              <w:top w:val="single" w:sz="4" w:space="0" w:color="7F0000"/>
              <w:left w:val="single" w:sz="4" w:space="0" w:color="7F0000"/>
              <w:bottom w:val="single" w:sz="4" w:space="0" w:color="7F0000"/>
              <w:right w:val="single" w:sz="4" w:space="0" w:color="7F0000"/>
            </w:tcBorders>
            <w:shd w:val="clear" w:color="auto" w:fill="F4CCCC"/>
            <w:tcMar>
              <w:top w:w="0" w:type="dxa"/>
              <w:left w:w="60" w:type="dxa"/>
              <w:bottom w:w="0" w:type="dxa"/>
              <w:right w:w="60" w:type="dxa"/>
            </w:tcMar>
            <w:hideMark/>
          </w:tcPr>
          <w:p w14:paraId="1270F0DC" w14:textId="77777777" w:rsidR="008A654D" w:rsidRPr="003F0005" w:rsidRDefault="008A654D">
            <w:pPr>
              <w:spacing w:after="0" w:line="160" w:lineRule="atLeast"/>
              <w:cnfStyle w:val="100000000000" w:firstRow="1" w:lastRow="0" w:firstColumn="0" w:lastColumn="0" w:oddVBand="0" w:evenVBand="0" w:oddHBand="0" w:evenHBand="0" w:firstRowFirstColumn="0" w:firstRowLastColumn="0" w:lastRowFirstColumn="0" w:lastRowLastColumn="0"/>
              <w:rPr>
                <w:sz w:val="21"/>
                <w:szCs w:val="32"/>
              </w:rPr>
            </w:pPr>
            <w:r w:rsidRPr="003F0005">
              <w:rPr>
                <w:color w:val="000000"/>
                <w:szCs w:val="18"/>
              </w:rPr>
              <w:t>Immediate executive attention required; risk could materially affect containment, recovery or customer confidence.</w:t>
            </w:r>
          </w:p>
        </w:tc>
        <w:tc>
          <w:tcPr>
            <w:tcW w:w="0" w:type="auto"/>
            <w:tcBorders>
              <w:top w:val="single" w:sz="4" w:space="0" w:color="D9A300"/>
              <w:left w:val="single" w:sz="4" w:space="0" w:color="D9A300"/>
              <w:bottom w:val="single" w:sz="4" w:space="0" w:color="D9A300"/>
              <w:right w:val="single" w:sz="4" w:space="0" w:color="D9A300"/>
            </w:tcBorders>
            <w:shd w:val="clear" w:color="auto" w:fill="FFC000"/>
            <w:tcMar>
              <w:top w:w="0" w:type="dxa"/>
              <w:left w:w="60" w:type="dxa"/>
              <w:bottom w:w="0" w:type="dxa"/>
              <w:right w:w="60" w:type="dxa"/>
            </w:tcMar>
            <w:hideMark/>
          </w:tcPr>
          <w:p w14:paraId="11D4F134" w14:textId="77777777" w:rsidR="008A654D" w:rsidRPr="003F0005" w:rsidRDefault="008A654D">
            <w:pPr>
              <w:spacing w:after="0" w:line="160" w:lineRule="atLeast"/>
              <w:cnfStyle w:val="100000000000" w:firstRow="1" w:lastRow="0" w:firstColumn="0" w:lastColumn="0" w:oddVBand="0" w:evenVBand="0" w:oddHBand="0" w:evenHBand="0" w:firstRowFirstColumn="0" w:firstRowLastColumn="0" w:lastRowFirstColumn="0" w:lastRowLastColumn="0"/>
              <w:rPr>
                <w:sz w:val="21"/>
                <w:szCs w:val="32"/>
              </w:rPr>
            </w:pPr>
            <w:r w:rsidRPr="003F0005">
              <w:rPr>
                <w:color w:val="000000"/>
                <w:szCs w:val="18"/>
              </w:rPr>
              <w:t>AMBER</w:t>
            </w:r>
          </w:p>
        </w:tc>
        <w:tc>
          <w:tcPr>
            <w:tcW w:w="0" w:type="auto"/>
            <w:tcBorders>
              <w:top w:val="single" w:sz="4" w:space="0" w:color="D9A300"/>
              <w:left w:val="single" w:sz="4" w:space="0" w:color="D9A300"/>
              <w:bottom w:val="single" w:sz="4" w:space="0" w:color="D9A300"/>
              <w:right w:val="single" w:sz="4" w:space="0" w:color="D9A300"/>
            </w:tcBorders>
            <w:shd w:val="clear" w:color="auto" w:fill="FFF2CC"/>
            <w:tcMar>
              <w:top w:w="0" w:type="dxa"/>
              <w:left w:w="60" w:type="dxa"/>
              <w:bottom w:w="0" w:type="dxa"/>
              <w:right w:w="60" w:type="dxa"/>
            </w:tcMar>
            <w:hideMark/>
          </w:tcPr>
          <w:p w14:paraId="31362418" w14:textId="77777777" w:rsidR="008A654D" w:rsidRPr="003F0005" w:rsidRDefault="008A654D">
            <w:pPr>
              <w:spacing w:after="0" w:line="160" w:lineRule="atLeast"/>
              <w:cnfStyle w:val="100000000000" w:firstRow="1" w:lastRow="0" w:firstColumn="0" w:lastColumn="0" w:oddVBand="0" w:evenVBand="0" w:oddHBand="0" w:evenHBand="0" w:firstRowFirstColumn="0" w:firstRowLastColumn="0" w:lastRowFirstColumn="0" w:lastRowLastColumn="0"/>
              <w:rPr>
                <w:sz w:val="21"/>
                <w:szCs w:val="32"/>
              </w:rPr>
            </w:pPr>
            <w:r w:rsidRPr="003F0005">
              <w:rPr>
                <w:color w:val="000000"/>
                <w:szCs w:val="18"/>
              </w:rPr>
              <w:t>Prioritised improvement required; risk is manageable but needs ownership, evidence or validation.</w:t>
            </w:r>
          </w:p>
        </w:tc>
        <w:tc>
          <w:tcPr>
            <w:tcW w:w="0" w:type="auto"/>
            <w:tcBorders>
              <w:top w:val="single" w:sz="4" w:space="0" w:color="548235"/>
              <w:left w:val="single" w:sz="4" w:space="0" w:color="548235"/>
              <w:bottom w:val="single" w:sz="4" w:space="0" w:color="548235"/>
              <w:right w:val="single" w:sz="4" w:space="0" w:color="548235"/>
            </w:tcBorders>
            <w:shd w:val="clear" w:color="auto" w:fill="70AD47"/>
            <w:tcMar>
              <w:top w:w="0" w:type="dxa"/>
              <w:left w:w="60" w:type="dxa"/>
              <w:bottom w:w="0" w:type="dxa"/>
              <w:right w:w="60" w:type="dxa"/>
            </w:tcMar>
            <w:hideMark/>
          </w:tcPr>
          <w:p w14:paraId="05137C26" w14:textId="77777777" w:rsidR="008A654D" w:rsidRPr="003F0005" w:rsidRDefault="008A654D">
            <w:pPr>
              <w:spacing w:after="0" w:line="160" w:lineRule="atLeast"/>
              <w:cnfStyle w:val="100000000000" w:firstRow="1" w:lastRow="0" w:firstColumn="0" w:lastColumn="0" w:oddVBand="0" w:evenVBand="0" w:oddHBand="0" w:evenHBand="0" w:firstRowFirstColumn="0" w:firstRowLastColumn="0" w:lastRowFirstColumn="0" w:lastRowLastColumn="0"/>
              <w:rPr>
                <w:sz w:val="21"/>
                <w:szCs w:val="32"/>
              </w:rPr>
            </w:pPr>
            <w:r w:rsidRPr="003F0005">
              <w:rPr>
                <w:color w:val="FFFFFF"/>
                <w:szCs w:val="18"/>
              </w:rPr>
              <w:t>GREEN</w:t>
            </w:r>
          </w:p>
        </w:tc>
        <w:tc>
          <w:tcPr>
            <w:tcW w:w="0" w:type="auto"/>
            <w:tcBorders>
              <w:top w:val="single" w:sz="4" w:space="0" w:color="548235"/>
              <w:left w:val="single" w:sz="4" w:space="0" w:color="548235"/>
              <w:bottom w:val="single" w:sz="4" w:space="0" w:color="548235"/>
              <w:right w:val="single" w:sz="4" w:space="0" w:color="548235"/>
            </w:tcBorders>
            <w:shd w:val="clear" w:color="auto" w:fill="E2F0D9"/>
            <w:tcMar>
              <w:top w:w="0" w:type="dxa"/>
              <w:left w:w="60" w:type="dxa"/>
              <w:bottom w:w="0" w:type="dxa"/>
              <w:right w:w="60" w:type="dxa"/>
            </w:tcMar>
            <w:hideMark/>
          </w:tcPr>
          <w:p w14:paraId="578E5F99" w14:textId="77777777" w:rsidR="008A654D" w:rsidRPr="003F0005" w:rsidRDefault="008A654D">
            <w:pPr>
              <w:spacing w:after="0" w:line="160" w:lineRule="atLeast"/>
              <w:cnfStyle w:val="100000000000" w:firstRow="1" w:lastRow="0" w:firstColumn="0" w:lastColumn="0" w:oddVBand="0" w:evenVBand="0" w:oddHBand="0" w:evenHBand="0" w:firstRowFirstColumn="0" w:firstRowLastColumn="0" w:lastRowFirstColumn="0" w:lastRowLastColumn="0"/>
              <w:rPr>
                <w:sz w:val="21"/>
                <w:szCs w:val="32"/>
              </w:rPr>
            </w:pPr>
            <w:r w:rsidRPr="003F0005">
              <w:rPr>
                <w:color w:val="000000"/>
                <w:szCs w:val="18"/>
              </w:rPr>
              <w:t>Control is broadly established; monitoring or periodic assurance should continue.</w:t>
            </w:r>
          </w:p>
        </w:tc>
      </w:tr>
    </w:tbl>
    <w:p w14:paraId="65B1DED6" w14:textId="77777777" w:rsidR="008A654D" w:rsidRPr="003F0005" w:rsidRDefault="008A654D">
      <w:pPr>
        <w:rPr>
          <w:kern w:val="0"/>
          <w:sz w:val="21"/>
          <w:szCs w:val="21"/>
          <w:lang w:eastAsia="en-GB"/>
          <w14:ligatures w14:val="none"/>
        </w:rPr>
      </w:pPr>
    </w:p>
    <w:p w14:paraId="4F9CDE12" w14:textId="71B93CD4" w:rsidR="00000000" w:rsidRPr="003F0005" w:rsidRDefault="00000000">
      <w:pPr>
        <w:rPr>
          <w:color w:val="595959"/>
          <w:kern w:val="0"/>
          <w:sz w:val="20"/>
          <w:szCs w:val="20"/>
          <w:lang w:eastAsia="en-GB"/>
          <w14:ligatures w14:val="none"/>
        </w:rPr>
      </w:pPr>
      <w:r w:rsidRPr="003F0005">
        <w:rPr>
          <w:b/>
          <w:bCs/>
          <w:color w:val="595959"/>
          <w:sz w:val="20"/>
          <w:szCs w:val="20"/>
        </w:rPr>
        <w:t>Weighting methodology:</w:t>
      </w:r>
      <w:r w:rsidRPr="003F0005">
        <w:rPr>
          <w:color w:val="595959"/>
          <w:sz w:val="20"/>
          <w:szCs w:val="20"/>
        </w:rPr>
        <w:t xml:space="preserve"> weighting reflects business criticality, likelihood, </w:t>
      </w:r>
      <w:r w:rsidR="00D3101A" w:rsidRPr="003F0005">
        <w:rPr>
          <w:color w:val="595959"/>
          <w:sz w:val="20"/>
          <w:szCs w:val="20"/>
        </w:rPr>
        <w:t>incident-containment value, customer-data exposure</w:t>
      </w:r>
      <w:r w:rsidRPr="003F0005">
        <w:rPr>
          <w:color w:val="595959"/>
          <w:sz w:val="20"/>
          <w:szCs w:val="20"/>
        </w:rPr>
        <w:t xml:space="preserve">, recovery uncertainty and current assurance. The total weighting is 100% and is used to sequence </w:t>
      </w:r>
      <w:r w:rsidR="00D3101A" w:rsidRPr="003F0005">
        <w:rPr>
          <w:color w:val="595959"/>
          <w:sz w:val="20"/>
          <w:szCs w:val="20"/>
        </w:rPr>
        <w:t>executive attention</w:t>
      </w:r>
      <w:r w:rsidRPr="003F0005">
        <w:rPr>
          <w:color w:val="595959"/>
          <w:sz w:val="20"/>
          <w:szCs w:val="20"/>
        </w:rPr>
        <w:t xml:space="preserve"> where change is required.</w:t>
      </w:r>
    </w:p>
    <w:p w14:paraId="10777E31" w14:textId="77777777" w:rsidR="00927159" w:rsidRPr="003F0005" w:rsidRDefault="00927159">
      <w:pPr>
        <w:pStyle w:val="Heading1"/>
        <w:rPr>
          <w:rFonts w:cstheme="minorBidi"/>
          <w:kern w:val="36"/>
          <w:sz w:val="32"/>
          <w:szCs w:val="32"/>
          <w:lang w:eastAsia="en-GB"/>
          <w14:ligatures w14:val="none"/>
        </w:rPr>
      </w:pPr>
      <w:r w:rsidRPr="003F0005">
        <w:rPr>
          <w:rFonts w:cstheme="minorBidi"/>
          <w:sz w:val="32"/>
          <w:szCs w:val="48"/>
        </w:rPr>
        <w:t>Board Decision Summary</w:t>
      </w:r>
    </w:p>
    <w:tbl>
      <w:tblPr>
        <w:tblStyle w:val="GridTable4-Accent1"/>
        <w:tblW w:w="5000" w:type="pct"/>
        <w:tblLook w:val="04A0" w:firstRow="1" w:lastRow="0" w:firstColumn="1" w:lastColumn="0" w:noHBand="0" w:noVBand="1"/>
      </w:tblPr>
      <w:tblGrid>
        <w:gridCol w:w="1287"/>
        <w:gridCol w:w="9169"/>
      </w:tblGrid>
      <w:tr w:rsidR="00927159" w:rsidRPr="003F0005" w14:paraId="1530B47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right w:val="single" w:sz="4" w:space="0" w:color="156082"/>
            </w:tcBorders>
            <w:shd w:val="clear" w:color="auto" w:fill="00516B"/>
            <w:tcMar>
              <w:top w:w="0" w:type="dxa"/>
              <w:left w:w="60" w:type="dxa"/>
              <w:bottom w:w="0" w:type="dxa"/>
              <w:right w:w="60" w:type="dxa"/>
            </w:tcMar>
            <w:hideMark/>
          </w:tcPr>
          <w:p w14:paraId="2B4BA09E" w14:textId="77777777" w:rsidR="00927159" w:rsidRPr="003F0005" w:rsidRDefault="00927159">
            <w:pPr>
              <w:spacing w:after="0" w:line="180" w:lineRule="atLeast"/>
              <w:rPr>
                <w:kern w:val="0"/>
                <w:sz w:val="21"/>
                <w:szCs w:val="21"/>
                <w:lang w:eastAsia="en-GB"/>
                <w14:ligatures w14:val="none"/>
              </w:rPr>
            </w:pPr>
            <w:r w:rsidRPr="003F0005">
              <w:rPr>
                <w:color w:val="FFFFFF"/>
                <w:sz w:val="20"/>
                <w:szCs w:val="20"/>
              </w:rPr>
              <w:t>Decision required</w:t>
            </w:r>
          </w:p>
        </w:tc>
        <w:tc>
          <w:tcPr>
            <w:tcW w:w="0" w:type="auto"/>
            <w:tcBorders>
              <w:top w:val="single" w:sz="4" w:space="0" w:color="156082"/>
              <w:left w:val="single" w:sz="4" w:space="0" w:color="156082"/>
              <w:bottom w:val="single" w:sz="4" w:space="0" w:color="156082"/>
              <w:right w:val="single" w:sz="4" w:space="0" w:color="156082"/>
            </w:tcBorders>
            <w:shd w:val="clear" w:color="auto" w:fill="EAF3F8"/>
            <w:tcMar>
              <w:top w:w="0" w:type="dxa"/>
              <w:left w:w="60" w:type="dxa"/>
              <w:bottom w:w="0" w:type="dxa"/>
              <w:right w:w="60" w:type="dxa"/>
            </w:tcMar>
            <w:hideMark/>
          </w:tcPr>
          <w:p w14:paraId="0F5D9BDA" w14:textId="77777777" w:rsidR="00927159" w:rsidRPr="003F0005" w:rsidRDefault="00927159">
            <w:pPr>
              <w:spacing w:after="0" w:line="180" w:lineRule="atLeast"/>
              <w:cnfStyle w:val="100000000000" w:firstRow="1" w:lastRow="0" w:firstColumn="0" w:lastColumn="0" w:oddVBand="0" w:evenVBand="0" w:oddHBand="0" w:evenHBand="0" w:firstRowFirstColumn="0" w:firstRowLastColumn="0" w:lastRowFirstColumn="0" w:lastRowLastColumn="0"/>
              <w:rPr>
                <w:sz w:val="21"/>
                <w:szCs w:val="32"/>
              </w:rPr>
            </w:pPr>
            <w:r w:rsidRPr="003F0005">
              <w:rPr>
                <w:color w:val="000000"/>
                <w:sz w:val="20"/>
                <w:szCs w:val="20"/>
              </w:rPr>
              <w:t>Approve a scoped discovery and remediation planning exercise for MDR readiness, incident-response rehearsal, FTP remediation, vulnerability visibility and Google Workspace recovery assurance.</w:t>
            </w:r>
          </w:p>
        </w:tc>
      </w:tr>
      <w:tr w:rsidR="00927159" w:rsidRPr="003F0005" w14:paraId="28B382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right w:val="single" w:sz="4" w:space="0" w:color="156082"/>
            </w:tcBorders>
            <w:shd w:val="clear" w:color="auto" w:fill="00516B"/>
            <w:tcMar>
              <w:top w:w="0" w:type="dxa"/>
              <w:left w:w="60" w:type="dxa"/>
              <w:bottom w:w="0" w:type="dxa"/>
              <w:right w:w="60" w:type="dxa"/>
            </w:tcMar>
            <w:hideMark/>
          </w:tcPr>
          <w:p w14:paraId="08890564" w14:textId="77777777" w:rsidR="00927159" w:rsidRPr="003F0005" w:rsidRDefault="00927159">
            <w:pPr>
              <w:spacing w:after="0" w:line="180" w:lineRule="atLeast"/>
              <w:rPr>
                <w:sz w:val="21"/>
                <w:szCs w:val="32"/>
              </w:rPr>
            </w:pPr>
            <w:r w:rsidRPr="003F0005">
              <w:rPr>
                <w:color w:val="FFFFFF"/>
                <w:sz w:val="20"/>
                <w:szCs w:val="20"/>
              </w:rPr>
              <w:t>Why now</w:t>
            </w:r>
          </w:p>
        </w:tc>
        <w:tc>
          <w:tcPr>
            <w:tcW w:w="0" w:type="auto"/>
            <w:tcBorders>
              <w:top w:val="single" w:sz="4" w:space="0" w:color="156082"/>
              <w:left w:val="single" w:sz="4" w:space="0" w:color="156082"/>
              <w:bottom w:val="single" w:sz="4" w:space="0" w:color="156082"/>
              <w:right w:val="single" w:sz="4" w:space="0" w:color="156082"/>
            </w:tcBorders>
            <w:tcMar>
              <w:top w:w="0" w:type="dxa"/>
              <w:left w:w="60" w:type="dxa"/>
              <w:bottom w:w="0" w:type="dxa"/>
              <w:right w:w="60" w:type="dxa"/>
            </w:tcMar>
            <w:hideMark/>
          </w:tcPr>
          <w:p w14:paraId="0BA088F9" w14:textId="77777777" w:rsidR="00927159" w:rsidRPr="003F0005" w:rsidRDefault="00927159">
            <w:pPr>
              <w:spacing w:after="0" w:line="180" w:lineRule="atLeast"/>
              <w:cnfStyle w:val="000000100000" w:firstRow="0" w:lastRow="0" w:firstColumn="0" w:lastColumn="0" w:oddVBand="0" w:evenVBand="0" w:oddHBand="1" w:evenHBand="0" w:firstRowFirstColumn="0" w:firstRowLastColumn="0" w:lastRowFirstColumn="0" w:lastRowLastColumn="0"/>
              <w:rPr>
                <w:sz w:val="21"/>
                <w:szCs w:val="32"/>
              </w:rPr>
            </w:pPr>
            <w:r w:rsidRPr="003F0005">
              <w:rPr>
                <w:sz w:val="20"/>
                <w:szCs w:val="20"/>
              </w:rPr>
              <w:t xml:space="preserve">Current controls provide a credible baseline, but out-of-hours response, FTP authentication, incident rehearsal and recovery assurance remain the </w:t>
            </w:r>
            <w:proofErr w:type="spellStart"/>
            <w:r w:rsidRPr="003F0005">
              <w:rPr>
                <w:sz w:val="20"/>
                <w:szCs w:val="20"/>
              </w:rPr>
              <w:t>areas</w:t>
            </w:r>
            <w:proofErr w:type="spellEnd"/>
            <w:r w:rsidRPr="003F0005">
              <w:rPr>
                <w:sz w:val="20"/>
                <w:szCs w:val="20"/>
              </w:rPr>
              <w:t xml:space="preserve"> most likely to affect containment speed and customer confidence.</w:t>
            </w:r>
          </w:p>
        </w:tc>
      </w:tr>
      <w:tr w:rsidR="00927159" w:rsidRPr="003F0005" w14:paraId="556C0C1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right w:val="single" w:sz="4" w:space="0" w:color="156082"/>
            </w:tcBorders>
            <w:shd w:val="clear" w:color="auto" w:fill="00516B"/>
            <w:tcMar>
              <w:top w:w="0" w:type="dxa"/>
              <w:left w:w="60" w:type="dxa"/>
              <w:bottom w:w="0" w:type="dxa"/>
              <w:right w:w="60" w:type="dxa"/>
            </w:tcMar>
            <w:hideMark/>
          </w:tcPr>
          <w:p w14:paraId="099EDAB4" w14:textId="77777777" w:rsidR="00927159" w:rsidRPr="003F0005" w:rsidRDefault="00927159">
            <w:pPr>
              <w:spacing w:after="0" w:line="180" w:lineRule="atLeast"/>
              <w:rPr>
                <w:sz w:val="21"/>
                <w:szCs w:val="32"/>
              </w:rPr>
            </w:pPr>
            <w:r w:rsidRPr="003F0005">
              <w:rPr>
                <w:color w:val="FFFFFF"/>
                <w:sz w:val="20"/>
                <w:szCs w:val="20"/>
              </w:rPr>
              <w:t>Approval enables</w:t>
            </w:r>
          </w:p>
        </w:tc>
        <w:tc>
          <w:tcPr>
            <w:tcW w:w="0" w:type="auto"/>
            <w:tcBorders>
              <w:top w:val="single" w:sz="4" w:space="0" w:color="156082"/>
              <w:left w:val="single" w:sz="4" w:space="0" w:color="156082"/>
              <w:bottom w:val="single" w:sz="4" w:space="0" w:color="156082"/>
              <w:right w:val="single" w:sz="4" w:space="0" w:color="156082"/>
            </w:tcBorders>
            <w:shd w:val="clear" w:color="auto" w:fill="EAF3F8"/>
            <w:tcMar>
              <w:top w:w="0" w:type="dxa"/>
              <w:left w:w="60" w:type="dxa"/>
              <w:bottom w:w="0" w:type="dxa"/>
              <w:right w:w="60" w:type="dxa"/>
            </w:tcMar>
            <w:hideMark/>
          </w:tcPr>
          <w:p w14:paraId="2E38D5BA" w14:textId="77777777" w:rsidR="00927159" w:rsidRPr="003F0005" w:rsidRDefault="00927159">
            <w:pPr>
              <w:spacing w:after="0" w:line="180" w:lineRule="atLeast"/>
              <w:cnfStyle w:val="000000000000" w:firstRow="0" w:lastRow="0" w:firstColumn="0" w:lastColumn="0" w:oddVBand="0" w:evenVBand="0" w:oddHBand="0" w:evenHBand="0" w:firstRowFirstColumn="0" w:firstRowLastColumn="0" w:lastRowFirstColumn="0" w:lastRowLastColumn="0"/>
              <w:rPr>
                <w:sz w:val="21"/>
                <w:szCs w:val="32"/>
              </w:rPr>
            </w:pPr>
            <w:r w:rsidRPr="003F0005">
              <w:rPr>
                <w:color w:val="000000"/>
                <w:sz w:val="20"/>
                <w:szCs w:val="20"/>
              </w:rPr>
              <w:t>Confirmed scope, costs, owners, sequencing, supplier dependencies and evidence required for budget approval and phased delivery.</w:t>
            </w:r>
          </w:p>
        </w:tc>
      </w:tr>
    </w:tbl>
    <w:p w14:paraId="048EFBFA" w14:textId="77777777" w:rsidR="00927159" w:rsidRPr="003F0005" w:rsidRDefault="00927159">
      <w:pPr>
        <w:rPr>
          <w:kern w:val="0"/>
          <w:sz w:val="21"/>
          <w:szCs w:val="21"/>
          <w:lang w:eastAsia="en-GB"/>
          <w14:ligatures w14:val="none"/>
        </w:rPr>
      </w:pPr>
    </w:p>
    <w:p w14:paraId="580D10A1" w14:textId="77777777" w:rsidR="00927159" w:rsidRPr="003F0005" w:rsidRDefault="00927159">
      <w:pPr>
        <w:pStyle w:val="Heading1"/>
        <w:rPr>
          <w:rFonts w:cstheme="minorBidi"/>
          <w:kern w:val="36"/>
          <w:sz w:val="32"/>
          <w:szCs w:val="32"/>
          <w:lang w:eastAsia="en-GB"/>
          <w14:ligatures w14:val="none"/>
        </w:rPr>
      </w:pPr>
      <w:r w:rsidRPr="003F0005">
        <w:rPr>
          <w:rFonts w:cstheme="minorBidi"/>
          <w:sz w:val="32"/>
          <w:szCs w:val="48"/>
        </w:rPr>
        <w:t>Expected Business Benefits</w:t>
      </w:r>
    </w:p>
    <w:tbl>
      <w:tblPr>
        <w:tblStyle w:val="GridTable4-Accent1"/>
        <w:tblW w:w="5000" w:type="pct"/>
        <w:tblLook w:val="04A0" w:firstRow="1" w:lastRow="0" w:firstColumn="1" w:lastColumn="0" w:noHBand="0" w:noVBand="1"/>
      </w:tblPr>
      <w:tblGrid>
        <w:gridCol w:w="5178"/>
        <w:gridCol w:w="5278"/>
      </w:tblGrid>
      <w:tr w:rsidR="00927159" w:rsidRPr="003F0005" w14:paraId="0C703E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right w:val="single" w:sz="4" w:space="0" w:color="156082"/>
            </w:tcBorders>
            <w:shd w:val="clear" w:color="auto" w:fill="EAF3F8"/>
            <w:tcMar>
              <w:top w:w="0" w:type="dxa"/>
              <w:left w:w="60" w:type="dxa"/>
              <w:bottom w:w="0" w:type="dxa"/>
              <w:right w:w="60" w:type="dxa"/>
            </w:tcMar>
            <w:hideMark/>
          </w:tcPr>
          <w:p w14:paraId="3CD86B25" w14:textId="77777777" w:rsidR="00927159" w:rsidRPr="003F0005" w:rsidRDefault="00927159">
            <w:pPr>
              <w:spacing w:after="0" w:line="180" w:lineRule="atLeast"/>
              <w:rPr>
                <w:kern w:val="0"/>
                <w:sz w:val="21"/>
                <w:szCs w:val="21"/>
                <w:lang w:eastAsia="en-GB"/>
                <w14:ligatures w14:val="none"/>
              </w:rPr>
            </w:pPr>
            <w:r w:rsidRPr="003F0005">
              <w:rPr>
                <w:color w:val="000000"/>
                <w:sz w:val="20"/>
                <w:szCs w:val="20"/>
              </w:rPr>
              <w:t>Faster containment through clearer monitoring coverage, escalation routes and response authority.</w:t>
            </w:r>
          </w:p>
        </w:tc>
        <w:tc>
          <w:tcPr>
            <w:tcW w:w="0" w:type="auto"/>
            <w:tcBorders>
              <w:top w:val="single" w:sz="4" w:space="0" w:color="156082"/>
              <w:left w:val="single" w:sz="4" w:space="0" w:color="156082"/>
              <w:bottom w:val="single" w:sz="4" w:space="0" w:color="156082"/>
              <w:right w:val="single" w:sz="4" w:space="0" w:color="156082"/>
            </w:tcBorders>
            <w:tcMar>
              <w:top w:w="0" w:type="dxa"/>
              <w:left w:w="60" w:type="dxa"/>
              <w:bottom w:w="0" w:type="dxa"/>
              <w:right w:w="60" w:type="dxa"/>
            </w:tcMar>
            <w:hideMark/>
          </w:tcPr>
          <w:p w14:paraId="55933BF6" w14:textId="77777777" w:rsidR="00927159" w:rsidRPr="003F0005" w:rsidRDefault="00927159">
            <w:pPr>
              <w:spacing w:after="0" w:line="180" w:lineRule="atLeast"/>
              <w:cnfStyle w:val="100000000000" w:firstRow="1" w:lastRow="0" w:firstColumn="0" w:lastColumn="0" w:oddVBand="0" w:evenVBand="0" w:oddHBand="0" w:evenHBand="0" w:firstRowFirstColumn="0" w:firstRowLastColumn="0" w:lastRowFirstColumn="0" w:lastRowLastColumn="0"/>
              <w:rPr>
                <w:sz w:val="21"/>
                <w:szCs w:val="32"/>
              </w:rPr>
            </w:pPr>
            <w:r w:rsidRPr="003F0005">
              <w:rPr>
                <w:sz w:val="20"/>
                <w:szCs w:val="20"/>
              </w:rPr>
              <w:t>Stronger recovery decisions through tested incident roles, supplier escalation and agreed system recovery priorities.</w:t>
            </w:r>
          </w:p>
        </w:tc>
      </w:tr>
      <w:tr w:rsidR="00927159" w:rsidRPr="003F0005" w14:paraId="4B4AA3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right w:val="single" w:sz="4" w:space="0" w:color="156082"/>
            </w:tcBorders>
            <w:tcMar>
              <w:top w:w="0" w:type="dxa"/>
              <w:left w:w="60" w:type="dxa"/>
              <w:bottom w:w="0" w:type="dxa"/>
              <w:right w:w="60" w:type="dxa"/>
            </w:tcMar>
            <w:hideMark/>
          </w:tcPr>
          <w:p w14:paraId="490E678B" w14:textId="77777777" w:rsidR="00927159" w:rsidRPr="003F0005" w:rsidRDefault="00927159">
            <w:pPr>
              <w:spacing w:after="0" w:line="180" w:lineRule="atLeast"/>
              <w:rPr>
                <w:sz w:val="21"/>
                <w:szCs w:val="32"/>
              </w:rPr>
            </w:pPr>
            <w:r w:rsidRPr="003F0005">
              <w:rPr>
                <w:sz w:val="20"/>
                <w:szCs w:val="20"/>
              </w:rPr>
              <w:t>Reduced customer-data exposure by closing FTP and privileged-access gaps and strengthening file-sharing governance.</w:t>
            </w:r>
          </w:p>
        </w:tc>
        <w:tc>
          <w:tcPr>
            <w:tcW w:w="0" w:type="auto"/>
            <w:tcBorders>
              <w:top w:val="single" w:sz="4" w:space="0" w:color="156082"/>
              <w:left w:val="single" w:sz="4" w:space="0" w:color="156082"/>
              <w:bottom w:val="single" w:sz="4" w:space="0" w:color="156082"/>
              <w:right w:val="single" w:sz="4" w:space="0" w:color="156082"/>
            </w:tcBorders>
            <w:shd w:val="clear" w:color="auto" w:fill="EAF3F8"/>
            <w:tcMar>
              <w:top w:w="0" w:type="dxa"/>
              <w:left w:w="60" w:type="dxa"/>
              <w:bottom w:w="0" w:type="dxa"/>
              <w:right w:w="60" w:type="dxa"/>
            </w:tcMar>
            <w:hideMark/>
          </w:tcPr>
          <w:p w14:paraId="48A70A80" w14:textId="77777777" w:rsidR="00927159" w:rsidRPr="003F0005" w:rsidRDefault="00927159">
            <w:pPr>
              <w:spacing w:after="0" w:line="180" w:lineRule="atLeast"/>
              <w:cnfStyle w:val="000000100000" w:firstRow="0" w:lastRow="0" w:firstColumn="0" w:lastColumn="0" w:oddVBand="0" w:evenVBand="0" w:oddHBand="1" w:evenHBand="0" w:firstRowFirstColumn="0" w:firstRowLastColumn="0" w:lastRowFirstColumn="0" w:lastRowLastColumn="0"/>
              <w:rPr>
                <w:sz w:val="21"/>
                <w:szCs w:val="32"/>
              </w:rPr>
            </w:pPr>
            <w:r w:rsidRPr="003F0005">
              <w:rPr>
                <w:b/>
                <w:bCs/>
                <w:color w:val="000000"/>
                <w:sz w:val="20"/>
                <w:szCs w:val="20"/>
              </w:rPr>
              <w:t>Defensible investment case</w:t>
            </w:r>
            <w:r w:rsidRPr="003F0005">
              <w:rPr>
                <w:color w:val="000000"/>
                <w:sz w:val="20"/>
                <w:szCs w:val="20"/>
              </w:rPr>
              <w:t xml:space="preserve"> with evidence-led cost, scope and sequencing for MDR, vulnerability scanning and recovery assurance.</w:t>
            </w:r>
          </w:p>
        </w:tc>
      </w:tr>
    </w:tbl>
    <w:p w14:paraId="49461839" w14:textId="77777777" w:rsidR="00927159" w:rsidRPr="003F0005" w:rsidRDefault="00927159">
      <w:pPr>
        <w:rPr>
          <w:kern w:val="0"/>
          <w:sz w:val="21"/>
          <w:szCs w:val="21"/>
          <w:lang w:eastAsia="en-GB"/>
          <w14:ligatures w14:val="none"/>
        </w:rPr>
      </w:pPr>
    </w:p>
    <w:p w14:paraId="27721CB2" w14:textId="77777777" w:rsidR="00927159" w:rsidRPr="003F0005" w:rsidRDefault="00927159" w:rsidP="00927159">
      <w:pPr>
        <w:pStyle w:val="Heading1"/>
        <w:rPr>
          <w:rFonts w:cstheme="minorBidi"/>
          <w:kern w:val="36"/>
          <w:sz w:val="32"/>
          <w:szCs w:val="32"/>
          <w:lang w:eastAsia="en-GB"/>
          <w14:ligatures w14:val="none"/>
        </w:rPr>
      </w:pPr>
      <w:r w:rsidRPr="003F0005">
        <w:rPr>
          <w:rFonts w:cstheme="minorBidi"/>
          <w:sz w:val="32"/>
          <w:szCs w:val="48"/>
        </w:rPr>
        <w:t>Indicative Costs</w:t>
      </w:r>
    </w:p>
    <w:tbl>
      <w:tblPr>
        <w:tblStyle w:val="GridTable4-Accent1"/>
        <w:tblW w:w="5000" w:type="pct"/>
        <w:tblLook w:val="04A0" w:firstRow="1" w:lastRow="0" w:firstColumn="1" w:lastColumn="0" w:noHBand="0" w:noVBand="1"/>
      </w:tblPr>
      <w:tblGrid>
        <w:gridCol w:w="2249"/>
        <w:gridCol w:w="6080"/>
        <w:gridCol w:w="2127"/>
      </w:tblGrid>
      <w:tr w:rsidR="00A813D6" w:rsidRPr="003F0005" w14:paraId="42FB46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516B"/>
            <w:hideMark/>
          </w:tcPr>
          <w:p w14:paraId="3B8E78E7" w14:textId="77777777" w:rsidR="00A813D6" w:rsidRPr="003F0005" w:rsidRDefault="00A813D6">
            <w:pPr>
              <w:spacing w:after="160"/>
              <w:rPr>
                <w:color w:val="FFFFFF"/>
                <w:kern w:val="0"/>
                <w:sz w:val="21"/>
                <w:szCs w:val="21"/>
                <w:lang w:eastAsia="en-GB"/>
                <w14:ligatures w14:val="none"/>
              </w:rPr>
            </w:pPr>
            <w:r w:rsidRPr="003F0005">
              <w:rPr>
                <w:color w:val="FFFFFF"/>
                <w:sz w:val="21"/>
                <w:szCs w:val="21"/>
              </w:rPr>
              <w:t>Workstream</w:t>
            </w:r>
          </w:p>
        </w:tc>
        <w:tc>
          <w:tcPr>
            <w:tcW w:w="0" w:type="auto"/>
            <w:shd w:val="clear" w:color="auto" w:fill="00516B"/>
            <w:hideMark/>
          </w:tcPr>
          <w:p w14:paraId="63C1045E" w14:textId="77777777" w:rsidR="00A813D6" w:rsidRPr="003F0005" w:rsidRDefault="00A813D6">
            <w:pPr>
              <w:spacing w:after="160"/>
              <w:cnfStyle w:val="100000000000" w:firstRow="1" w:lastRow="0" w:firstColumn="0" w:lastColumn="0" w:oddVBand="0" w:evenVBand="0" w:oddHBand="0" w:evenHBand="0" w:firstRowFirstColumn="0" w:firstRowLastColumn="0" w:lastRowFirstColumn="0" w:lastRowLastColumn="0"/>
              <w:rPr>
                <w:color w:val="FFFFFF"/>
                <w:sz w:val="21"/>
                <w:szCs w:val="21"/>
              </w:rPr>
            </w:pPr>
            <w:r w:rsidRPr="003F0005">
              <w:rPr>
                <w:color w:val="FFFFFF"/>
                <w:sz w:val="21"/>
                <w:szCs w:val="21"/>
              </w:rPr>
              <w:t>Indicative Scope</w:t>
            </w:r>
          </w:p>
        </w:tc>
        <w:tc>
          <w:tcPr>
            <w:tcW w:w="0" w:type="auto"/>
            <w:shd w:val="clear" w:color="auto" w:fill="00516B"/>
            <w:hideMark/>
          </w:tcPr>
          <w:p w14:paraId="7ED16ACD" w14:textId="77777777" w:rsidR="00A813D6" w:rsidRPr="003F0005" w:rsidRDefault="00A813D6">
            <w:pPr>
              <w:spacing w:after="160"/>
              <w:cnfStyle w:val="100000000000" w:firstRow="1" w:lastRow="0" w:firstColumn="0" w:lastColumn="0" w:oddVBand="0" w:evenVBand="0" w:oddHBand="0" w:evenHBand="0" w:firstRowFirstColumn="0" w:firstRowLastColumn="0" w:lastRowFirstColumn="0" w:lastRowLastColumn="0"/>
              <w:rPr>
                <w:color w:val="FFFFFF"/>
                <w:sz w:val="21"/>
                <w:szCs w:val="21"/>
              </w:rPr>
            </w:pPr>
            <w:r w:rsidRPr="003F0005">
              <w:rPr>
                <w:color w:val="FFFFFF"/>
                <w:sz w:val="21"/>
                <w:szCs w:val="21"/>
              </w:rPr>
              <w:t>Cost Range</w:t>
            </w:r>
          </w:p>
        </w:tc>
      </w:tr>
      <w:tr w:rsidR="00A813D6" w:rsidRPr="003F0005" w14:paraId="7D3F6A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AF3F8"/>
            <w:hideMark/>
          </w:tcPr>
          <w:p w14:paraId="14119E97" w14:textId="77777777" w:rsidR="00A813D6" w:rsidRPr="003F0005" w:rsidRDefault="00291853" w:rsidP="00291853">
            <w:pPr>
              <w:rPr>
                <w:b w:val="0"/>
                <w:bCs w:val="0"/>
                <w:color w:val="000000"/>
                <w:sz w:val="21"/>
                <w:szCs w:val="21"/>
              </w:rPr>
            </w:pPr>
            <w:r w:rsidRPr="003F0005">
              <w:rPr>
                <w:color w:val="000000"/>
                <w:sz w:val="21"/>
                <w:szCs w:val="21"/>
              </w:rPr>
              <w:t>MDR readiness and out-of-hours response</w:t>
            </w:r>
          </w:p>
          <w:p w14:paraId="3CD87BA5" w14:textId="1778FAEF" w:rsidR="00B36F39" w:rsidRPr="003F0005" w:rsidRDefault="00B36F39" w:rsidP="00291853">
            <w:pPr>
              <w:rPr>
                <w:sz w:val="21"/>
                <w:szCs w:val="21"/>
              </w:rPr>
            </w:pPr>
          </w:p>
        </w:tc>
        <w:tc>
          <w:tcPr>
            <w:tcW w:w="0" w:type="auto"/>
            <w:shd w:val="clear" w:color="auto" w:fill="EAF3F8"/>
            <w:hideMark/>
          </w:tcPr>
          <w:p w14:paraId="580C39DD" w14:textId="406FCA41" w:rsidR="00A813D6" w:rsidRPr="003F0005" w:rsidRDefault="00BF510A" w:rsidP="00BF510A">
            <w:pPr>
              <w:cnfStyle w:val="000000100000" w:firstRow="0" w:lastRow="0" w:firstColumn="0" w:lastColumn="0" w:oddVBand="0" w:evenVBand="0" w:oddHBand="1" w:evenHBand="0" w:firstRowFirstColumn="0" w:firstRowLastColumn="0" w:lastRowFirstColumn="0" w:lastRowLastColumn="0"/>
              <w:rPr>
                <w:sz w:val="21"/>
                <w:szCs w:val="21"/>
              </w:rPr>
            </w:pPr>
            <w:r w:rsidRPr="003F0005">
              <w:rPr>
                <w:color w:val="000000"/>
                <w:sz w:val="21"/>
                <w:szCs w:val="21"/>
              </w:rPr>
              <w:t>Telemetry review across Webroot, Fortinet, Google Workspace, Freshdesk, email and cloud services; escalation model; containment authority; MDR options comparison.</w:t>
            </w:r>
          </w:p>
        </w:tc>
        <w:tc>
          <w:tcPr>
            <w:tcW w:w="0" w:type="auto"/>
            <w:shd w:val="clear" w:color="auto" w:fill="EAF3F8"/>
            <w:hideMark/>
          </w:tcPr>
          <w:p w14:paraId="6814B3B7" w14:textId="67F0A5CB" w:rsidR="00A813D6" w:rsidRPr="003F0005" w:rsidRDefault="006F2667" w:rsidP="006F2667">
            <w:pPr>
              <w:cnfStyle w:val="000000100000" w:firstRow="0" w:lastRow="0" w:firstColumn="0" w:lastColumn="0" w:oddVBand="0" w:evenVBand="0" w:oddHBand="1" w:evenHBand="0" w:firstRowFirstColumn="0" w:firstRowLastColumn="0" w:lastRowFirstColumn="0" w:lastRowLastColumn="0"/>
              <w:rPr>
                <w:sz w:val="21"/>
                <w:szCs w:val="21"/>
              </w:rPr>
            </w:pPr>
            <w:r w:rsidRPr="003F0005">
              <w:rPr>
                <w:color w:val="000000"/>
                <w:sz w:val="21"/>
                <w:szCs w:val="21"/>
              </w:rPr>
              <w:t>High / TBC</w:t>
            </w:r>
          </w:p>
        </w:tc>
      </w:tr>
      <w:tr w:rsidR="00A813D6" w:rsidRPr="003F0005" w14:paraId="04D1254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4F58162" w14:textId="11968AB6" w:rsidR="00A813D6" w:rsidRPr="003F0005" w:rsidRDefault="00CE1A4A" w:rsidP="00CE1A4A">
            <w:pPr>
              <w:rPr>
                <w:sz w:val="21"/>
                <w:szCs w:val="21"/>
              </w:rPr>
            </w:pPr>
            <w:r w:rsidRPr="003F0005">
              <w:rPr>
                <w:sz w:val="21"/>
                <w:szCs w:val="21"/>
              </w:rPr>
              <w:t>Incident and recovery readiness</w:t>
            </w:r>
          </w:p>
        </w:tc>
        <w:tc>
          <w:tcPr>
            <w:tcW w:w="0" w:type="auto"/>
            <w:hideMark/>
          </w:tcPr>
          <w:p w14:paraId="59712F24" w14:textId="666B8464" w:rsidR="00A813D6" w:rsidRPr="003F0005" w:rsidRDefault="00D321C9" w:rsidP="00D321C9">
            <w:pPr>
              <w:cnfStyle w:val="000000000000" w:firstRow="0" w:lastRow="0" w:firstColumn="0" w:lastColumn="0" w:oddVBand="0" w:evenVBand="0" w:oddHBand="0" w:evenHBand="0" w:firstRowFirstColumn="0" w:firstRowLastColumn="0" w:lastRowFirstColumn="0" w:lastRowLastColumn="0"/>
              <w:rPr>
                <w:sz w:val="21"/>
                <w:szCs w:val="21"/>
              </w:rPr>
            </w:pPr>
            <w:r w:rsidRPr="003F0005">
              <w:rPr>
                <w:sz w:val="21"/>
                <w:szCs w:val="21"/>
              </w:rPr>
              <w:t>Executive tabletop exercise, response-plan review, recovery-priority workshop and representative Google Workspace recovery test.</w:t>
            </w:r>
          </w:p>
        </w:tc>
        <w:tc>
          <w:tcPr>
            <w:tcW w:w="0" w:type="auto"/>
            <w:hideMark/>
          </w:tcPr>
          <w:p w14:paraId="662A6E2A" w14:textId="22F1B875" w:rsidR="00A813D6" w:rsidRPr="003F0005" w:rsidRDefault="009C03C4" w:rsidP="009C03C4">
            <w:pPr>
              <w:cnfStyle w:val="000000000000" w:firstRow="0" w:lastRow="0" w:firstColumn="0" w:lastColumn="0" w:oddVBand="0" w:evenVBand="0" w:oddHBand="0" w:evenHBand="0" w:firstRowFirstColumn="0" w:firstRowLastColumn="0" w:lastRowFirstColumn="0" w:lastRowLastColumn="0"/>
              <w:rPr>
                <w:sz w:val="21"/>
                <w:szCs w:val="21"/>
              </w:rPr>
            </w:pPr>
            <w:r w:rsidRPr="003F0005">
              <w:rPr>
                <w:sz w:val="21"/>
                <w:szCs w:val="21"/>
              </w:rPr>
              <w:t>Medium initially; High if backup licensing is added</w:t>
            </w:r>
          </w:p>
        </w:tc>
      </w:tr>
      <w:tr w:rsidR="00A813D6" w:rsidRPr="003F0005" w14:paraId="7E04E7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AF3F8"/>
            <w:hideMark/>
          </w:tcPr>
          <w:p w14:paraId="687314D7" w14:textId="77777777" w:rsidR="00A813D6" w:rsidRPr="003F0005" w:rsidRDefault="0003241F" w:rsidP="0003241F">
            <w:pPr>
              <w:rPr>
                <w:b w:val="0"/>
                <w:bCs w:val="0"/>
                <w:color w:val="000000"/>
                <w:sz w:val="21"/>
                <w:szCs w:val="21"/>
              </w:rPr>
            </w:pPr>
            <w:r w:rsidRPr="003F0005">
              <w:rPr>
                <w:color w:val="000000"/>
                <w:sz w:val="21"/>
                <w:szCs w:val="21"/>
              </w:rPr>
              <w:t>Vulnerability visibility and FTP remediation</w:t>
            </w:r>
          </w:p>
          <w:p w14:paraId="66904E2A" w14:textId="26013B8F" w:rsidR="00B36F39" w:rsidRPr="003F0005" w:rsidRDefault="00B36F39" w:rsidP="0003241F">
            <w:pPr>
              <w:rPr>
                <w:sz w:val="21"/>
                <w:szCs w:val="21"/>
              </w:rPr>
            </w:pPr>
          </w:p>
        </w:tc>
        <w:tc>
          <w:tcPr>
            <w:tcW w:w="0" w:type="auto"/>
            <w:shd w:val="clear" w:color="auto" w:fill="EAF3F8"/>
            <w:hideMark/>
          </w:tcPr>
          <w:p w14:paraId="491389A2" w14:textId="03A02D1F" w:rsidR="00A813D6" w:rsidRPr="003F0005" w:rsidRDefault="001E638A" w:rsidP="001E638A">
            <w:pPr>
              <w:cnfStyle w:val="000000100000" w:firstRow="0" w:lastRow="0" w:firstColumn="0" w:lastColumn="0" w:oddVBand="0" w:evenVBand="0" w:oddHBand="1" w:evenHBand="0" w:firstRowFirstColumn="0" w:firstRowLastColumn="0" w:lastRowFirstColumn="0" w:lastRowLastColumn="0"/>
              <w:rPr>
                <w:sz w:val="21"/>
                <w:szCs w:val="21"/>
              </w:rPr>
            </w:pPr>
            <w:r w:rsidRPr="003F0005">
              <w:rPr>
                <w:color w:val="000000"/>
                <w:sz w:val="21"/>
                <w:szCs w:val="21"/>
              </w:rPr>
              <w:t xml:space="preserve">Dedicated vulnerability scanning across endpoints, servers, </w:t>
            </w:r>
            <w:proofErr w:type="spellStart"/>
            <w:r w:rsidRPr="003F0005">
              <w:rPr>
                <w:color w:val="000000"/>
                <w:sz w:val="21"/>
                <w:szCs w:val="21"/>
              </w:rPr>
              <w:t>ESXi</w:t>
            </w:r>
            <w:proofErr w:type="spellEnd"/>
            <w:r w:rsidRPr="003F0005">
              <w:rPr>
                <w:color w:val="000000"/>
                <w:sz w:val="21"/>
                <w:szCs w:val="21"/>
              </w:rPr>
              <w:t xml:space="preserve"> hosts and external services; FTP access decision; remediation tracking and evidence register.</w:t>
            </w:r>
          </w:p>
        </w:tc>
        <w:tc>
          <w:tcPr>
            <w:tcW w:w="0" w:type="auto"/>
            <w:shd w:val="clear" w:color="auto" w:fill="EAF3F8"/>
            <w:hideMark/>
          </w:tcPr>
          <w:p w14:paraId="0D93E6AB" w14:textId="25142B77" w:rsidR="00A813D6" w:rsidRPr="003F0005" w:rsidRDefault="00ED7580" w:rsidP="00ED7580">
            <w:pPr>
              <w:cnfStyle w:val="000000100000" w:firstRow="0" w:lastRow="0" w:firstColumn="0" w:lastColumn="0" w:oddVBand="0" w:evenVBand="0" w:oddHBand="1" w:evenHBand="0" w:firstRowFirstColumn="0" w:firstRowLastColumn="0" w:lastRowFirstColumn="0" w:lastRowLastColumn="0"/>
              <w:rPr>
                <w:sz w:val="21"/>
                <w:szCs w:val="21"/>
              </w:rPr>
            </w:pPr>
            <w:r w:rsidRPr="003F0005">
              <w:rPr>
                <w:color w:val="000000"/>
                <w:sz w:val="21"/>
                <w:szCs w:val="21"/>
              </w:rPr>
              <w:t>Medium to High / TBC</w:t>
            </w:r>
          </w:p>
        </w:tc>
      </w:tr>
      <w:tr w:rsidR="00A813D6" w:rsidRPr="003F0005" w14:paraId="4874FBA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704E352" w14:textId="77777777" w:rsidR="00A813D6" w:rsidRPr="003F0005" w:rsidRDefault="00C36E2E" w:rsidP="00C36E2E">
            <w:pPr>
              <w:rPr>
                <w:b w:val="0"/>
                <w:bCs w:val="0"/>
                <w:sz w:val="21"/>
                <w:szCs w:val="21"/>
              </w:rPr>
            </w:pPr>
            <w:r w:rsidRPr="003F0005">
              <w:rPr>
                <w:sz w:val="21"/>
                <w:szCs w:val="21"/>
              </w:rPr>
              <w:t>Combined discovery and remediation plan</w:t>
            </w:r>
          </w:p>
          <w:p w14:paraId="1D29F26D" w14:textId="4BCC11E1" w:rsidR="00B36F39" w:rsidRPr="003F0005" w:rsidRDefault="00B36F39" w:rsidP="00C36E2E">
            <w:pPr>
              <w:rPr>
                <w:sz w:val="21"/>
                <w:szCs w:val="21"/>
              </w:rPr>
            </w:pPr>
          </w:p>
        </w:tc>
        <w:tc>
          <w:tcPr>
            <w:tcW w:w="0" w:type="auto"/>
            <w:hideMark/>
          </w:tcPr>
          <w:p w14:paraId="6D4612B1" w14:textId="4829C6CF" w:rsidR="00A813D6" w:rsidRPr="003F0005" w:rsidRDefault="00D818FC" w:rsidP="00D818FC">
            <w:pPr>
              <w:cnfStyle w:val="000000000000" w:firstRow="0" w:lastRow="0" w:firstColumn="0" w:lastColumn="0" w:oddVBand="0" w:evenVBand="0" w:oddHBand="0" w:evenHBand="0" w:firstRowFirstColumn="0" w:firstRowLastColumn="0" w:lastRowFirstColumn="0" w:lastRowLastColumn="0"/>
              <w:rPr>
                <w:sz w:val="21"/>
                <w:szCs w:val="21"/>
              </w:rPr>
            </w:pPr>
            <w:r w:rsidRPr="003F0005">
              <w:rPr>
                <w:sz w:val="21"/>
                <w:szCs w:val="21"/>
              </w:rPr>
              <w:t>Coordinated delivery covering MDR readiness, tabletop exercise, FTP decision, vulnerability scanning scope, Google Workspace recovery requirements and ISO-aligned improvement tracking.</w:t>
            </w:r>
          </w:p>
        </w:tc>
        <w:tc>
          <w:tcPr>
            <w:tcW w:w="0" w:type="auto"/>
            <w:hideMark/>
          </w:tcPr>
          <w:p w14:paraId="3447FB00" w14:textId="32C5888C" w:rsidR="00A813D6" w:rsidRPr="003F0005" w:rsidRDefault="006A6E1A" w:rsidP="006A6E1A">
            <w:pPr>
              <w:cnfStyle w:val="000000000000" w:firstRow="0" w:lastRow="0" w:firstColumn="0" w:lastColumn="0" w:oddVBand="0" w:evenVBand="0" w:oddHBand="0" w:evenHBand="0" w:firstRowFirstColumn="0" w:firstRowLastColumn="0" w:lastRowFirstColumn="0" w:lastRowLastColumn="0"/>
              <w:rPr>
                <w:sz w:val="21"/>
                <w:szCs w:val="21"/>
              </w:rPr>
            </w:pPr>
            <w:r w:rsidRPr="003F0005">
              <w:rPr>
                <w:sz w:val="21"/>
                <w:szCs w:val="21"/>
              </w:rPr>
              <w:t>TBC following discovery</w:t>
            </w:r>
          </w:p>
        </w:tc>
      </w:tr>
    </w:tbl>
    <w:p w14:paraId="65F69430" w14:textId="49C9B106" w:rsidR="00000000" w:rsidRPr="003F0005" w:rsidRDefault="00000000">
      <w:pPr>
        <w:pBdr>
          <w:top w:val="single" w:sz="8" w:space="0" w:color="00516B"/>
          <w:left w:val="single" w:sz="8" w:space="0" w:color="00516B"/>
          <w:bottom w:val="single" w:sz="8" w:space="0" w:color="00516B"/>
          <w:right w:val="single" w:sz="8" w:space="0" w:color="00516B"/>
        </w:pBdr>
        <w:shd w:val="clear" w:color="auto" w:fill="EAF3F8"/>
        <w:rPr>
          <w:color w:val="000000"/>
          <w:kern w:val="0"/>
          <w:sz w:val="21"/>
          <w:szCs w:val="21"/>
          <w:lang w:eastAsia="en-GB"/>
          <w14:ligatures w14:val="none"/>
        </w:rPr>
      </w:pPr>
      <w:r w:rsidRPr="003F0005">
        <w:rPr>
          <w:b/>
          <w:bCs/>
          <w:color w:val="000000"/>
          <w:sz w:val="21"/>
          <w:szCs w:val="21"/>
        </w:rPr>
        <w:t>Recommended next step:</w:t>
      </w:r>
      <w:r w:rsidRPr="003F0005">
        <w:rPr>
          <w:color w:val="000000"/>
          <w:sz w:val="21"/>
          <w:szCs w:val="21"/>
        </w:rPr>
        <w:t xml:space="preserve"> approve a scoped discovery and remediation planning exercise </w:t>
      </w:r>
      <w:r w:rsidR="00B0595C" w:rsidRPr="003F0005">
        <w:rPr>
          <w:color w:val="000000"/>
          <w:sz w:val="21"/>
          <w:szCs w:val="21"/>
        </w:rPr>
        <w:t>for the identified workstreams.</w:t>
      </w:r>
      <w:r w:rsidRPr="003F0005">
        <w:rPr>
          <w:color w:val="000000"/>
          <w:sz w:val="21"/>
          <w:szCs w:val="21"/>
        </w:rPr>
        <w:t xml:space="preserve"> This should </w:t>
      </w:r>
      <w:r w:rsidR="00B0595C" w:rsidRPr="003F0005">
        <w:rPr>
          <w:color w:val="000000"/>
          <w:sz w:val="21"/>
          <w:szCs w:val="21"/>
        </w:rPr>
        <w:t>confirm</w:t>
      </w:r>
      <w:r w:rsidRPr="003F0005">
        <w:rPr>
          <w:color w:val="000000"/>
          <w:sz w:val="21"/>
          <w:szCs w:val="21"/>
        </w:rPr>
        <w:t xml:space="preserve"> costs, </w:t>
      </w:r>
      <w:r w:rsidRPr="003F0005">
        <w:rPr>
          <w:color w:val="000000"/>
          <w:sz w:val="21"/>
          <w:szCs w:val="21"/>
        </w:rPr>
        <w:t>sequencing, ownership</w:t>
      </w:r>
      <w:r w:rsidR="00B0595C" w:rsidRPr="003F0005">
        <w:rPr>
          <w:color w:val="000000"/>
          <w:sz w:val="21"/>
          <w:szCs w:val="21"/>
        </w:rPr>
        <w:t>, telemetry readiness, supplier dependencies</w:t>
      </w:r>
      <w:r w:rsidRPr="003F0005">
        <w:rPr>
          <w:color w:val="000000"/>
          <w:sz w:val="21"/>
          <w:szCs w:val="21"/>
        </w:rPr>
        <w:t xml:space="preserve"> and decision points for funded change.</w:t>
      </w:r>
    </w:p>
    <w:p w14:paraId="03411DFE" w14:textId="77777777" w:rsidR="00F32C6E" w:rsidRDefault="00F32C6E">
      <w:pPr>
        <w:rPr>
          <w:kern w:val="0"/>
          <w:szCs w:val="18"/>
          <w:lang w:eastAsia="en-GB"/>
          <w14:ligatures w14:val="none"/>
        </w:rPr>
      </w:pPr>
      <w:r>
        <w:rPr>
          <w:b/>
          <w:bCs/>
          <w:color w:val="595959"/>
          <w:sz w:val="21"/>
          <w:szCs w:val="21"/>
        </w:rPr>
        <w:t>Assumptions:</w:t>
      </w:r>
      <w:r>
        <w:rPr>
          <w:color w:val="595959"/>
          <w:sz w:val="21"/>
          <w:szCs w:val="21"/>
        </w:rPr>
        <w:t xml:space="preserve"> Cost bands are indicative planning categories rather than quotations. Final costs depend on asset scope, user count, telemetry availability, supplier pricing, licensing, response model and delivery sequencing. This snapshot summarises the full Northbridge Trading Ltd Cybersecurity Maturity Assessment and does not replace the supporting evidence base.</w:t>
      </w:r>
    </w:p>
    <w:p w14:paraId="3C0F507F" w14:textId="77777777" w:rsidR="00E95632" w:rsidRPr="003F0005" w:rsidRDefault="00E95632">
      <w:pPr>
        <w:jc w:val="center"/>
        <w:rPr>
          <w:color w:val="595959"/>
          <w:kern w:val="0"/>
          <w:sz w:val="20"/>
          <w:szCs w:val="20"/>
          <w:lang w:eastAsia="en-GB"/>
          <w14:ligatures w14:val="none"/>
        </w:rPr>
      </w:pPr>
      <w:r w:rsidRPr="003F0005">
        <w:rPr>
          <w:color w:val="595959"/>
          <w:sz w:val="20"/>
          <w:szCs w:val="20"/>
        </w:rPr>
        <w:t>Confidential | Executive Summary Extract | Planet IT</w:t>
      </w:r>
    </w:p>
    <w:sectPr w:rsidR="00E95632" w:rsidRPr="003F0005" w:rsidSect="008A654D">
      <w:headerReference w:type="even" r:id="rId7"/>
      <w:headerReference w:type="default" r:id="rId8"/>
      <w:footerReference w:type="even" r:id="rId9"/>
      <w:footerReference w:type="default" r:id="rId10"/>
      <w:headerReference w:type="first" r:id="rId11"/>
      <w:footerReference w:type="first" r:id="rId12"/>
      <w:pgSz w:w="11906" w:h="16838"/>
      <w:pgMar w:top="1126" w:right="720" w:bottom="1079" w:left="720" w:header="400" w:footer="4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AE393D" w14:textId="77777777" w:rsidR="00F542DB" w:rsidRDefault="00F542DB" w:rsidP="007879C2">
      <w:pPr>
        <w:spacing w:after="0" w:line="240" w:lineRule="auto"/>
      </w:pPr>
      <w:r>
        <w:separator/>
      </w:r>
    </w:p>
  </w:endnote>
  <w:endnote w:type="continuationSeparator" w:id="0">
    <w:p w14:paraId="4F36DFDB" w14:textId="77777777" w:rsidR="00F542DB" w:rsidRDefault="00F542DB" w:rsidP="00787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A934F8" w14:textId="77777777" w:rsidR="00F32C6E" w:rsidRDefault="00F32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1A25B" w14:textId="77777777" w:rsidR="00F32C6E" w:rsidRDefault="00F32C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DB09E8" w14:textId="77777777" w:rsidR="00F32C6E" w:rsidRDefault="00F32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A3D9C4" w14:textId="77777777" w:rsidR="00F542DB" w:rsidRDefault="00F542DB" w:rsidP="007879C2">
      <w:pPr>
        <w:spacing w:after="0" w:line="240" w:lineRule="auto"/>
      </w:pPr>
      <w:r>
        <w:separator/>
      </w:r>
    </w:p>
  </w:footnote>
  <w:footnote w:type="continuationSeparator" w:id="0">
    <w:p w14:paraId="7BAC6B99" w14:textId="77777777" w:rsidR="00F542DB" w:rsidRDefault="00F542DB" w:rsidP="00787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204746" w14:textId="77777777" w:rsidR="00F32C6E" w:rsidRDefault="00F32C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FBF3C" w14:textId="5E0C9171" w:rsidR="007879C2" w:rsidRDefault="007879C2">
    <w:pPr>
      <w:pStyle w:val="Header"/>
    </w:pPr>
    <w:r>
      <w:rPr>
        <w:noProof/>
      </w:rPr>
      <w:drawing>
        <wp:anchor distT="0" distB="0" distL="114300" distR="114300" simplePos="0" relativeHeight="251659264" behindDoc="1" locked="0" layoutInCell="1" allowOverlap="1" wp14:anchorId="23347F8F" wp14:editId="2318728C">
          <wp:simplePos x="0" y="0"/>
          <wp:positionH relativeFrom="column">
            <wp:posOffset>-520065</wp:posOffset>
          </wp:positionH>
          <wp:positionV relativeFrom="paragraph">
            <wp:posOffset>-359361</wp:posOffset>
          </wp:positionV>
          <wp:extent cx="7623016" cy="10755936"/>
          <wp:effectExtent l="0" t="0" r="0" b="1270"/>
          <wp:wrapNone/>
          <wp:docPr id="613975664" name="Picture 61397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623016" cy="1075593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88114" w14:textId="77777777" w:rsidR="00F32C6E" w:rsidRDefault="00F32C6E">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AD"/>
    <w:rsid w:val="00030F05"/>
    <w:rsid w:val="0003241F"/>
    <w:rsid w:val="00064A57"/>
    <w:rsid w:val="00087DFA"/>
    <w:rsid w:val="001043FD"/>
    <w:rsid w:val="00110B61"/>
    <w:rsid w:val="001860FA"/>
    <w:rsid w:val="001A43B0"/>
    <w:rsid w:val="001D4389"/>
    <w:rsid w:val="001E638A"/>
    <w:rsid w:val="00267605"/>
    <w:rsid w:val="00291853"/>
    <w:rsid w:val="003264AD"/>
    <w:rsid w:val="00361371"/>
    <w:rsid w:val="00393C78"/>
    <w:rsid w:val="003F0005"/>
    <w:rsid w:val="004031AE"/>
    <w:rsid w:val="00443A5F"/>
    <w:rsid w:val="00452620"/>
    <w:rsid w:val="004D248D"/>
    <w:rsid w:val="0053240C"/>
    <w:rsid w:val="005460C7"/>
    <w:rsid w:val="006131A9"/>
    <w:rsid w:val="00697F94"/>
    <w:rsid w:val="006A6E1A"/>
    <w:rsid w:val="006E2FF6"/>
    <w:rsid w:val="006F2667"/>
    <w:rsid w:val="00726E02"/>
    <w:rsid w:val="007850CA"/>
    <w:rsid w:val="007879C2"/>
    <w:rsid w:val="0080538A"/>
    <w:rsid w:val="008A654D"/>
    <w:rsid w:val="008A6A11"/>
    <w:rsid w:val="008E50F9"/>
    <w:rsid w:val="008F0274"/>
    <w:rsid w:val="00920683"/>
    <w:rsid w:val="00927159"/>
    <w:rsid w:val="009C03C4"/>
    <w:rsid w:val="00A07AFA"/>
    <w:rsid w:val="00A71B1B"/>
    <w:rsid w:val="00A813D6"/>
    <w:rsid w:val="00A84A71"/>
    <w:rsid w:val="00A86552"/>
    <w:rsid w:val="00A93A0E"/>
    <w:rsid w:val="00A950BA"/>
    <w:rsid w:val="00B0595C"/>
    <w:rsid w:val="00B36F39"/>
    <w:rsid w:val="00B4734F"/>
    <w:rsid w:val="00B83846"/>
    <w:rsid w:val="00BB20FB"/>
    <w:rsid w:val="00BD5F33"/>
    <w:rsid w:val="00BF510A"/>
    <w:rsid w:val="00C36E2E"/>
    <w:rsid w:val="00C814BA"/>
    <w:rsid w:val="00C916D9"/>
    <w:rsid w:val="00CD2F40"/>
    <w:rsid w:val="00CE1A4A"/>
    <w:rsid w:val="00D3101A"/>
    <w:rsid w:val="00D318C8"/>
    <w:rsid w:val="00D321C9"/>
    <w:rsid w:val="00D608C0"/>
    <w:rsid w:val="00D818FC"/>
    <w:rsid w:val="00DE630A"/>
    <w:rsid w:val="00DE78F9"/>
    <w:rsid w:val="00E06CAA"/>
    <w:rsid w:val="00E22891"/>
    <w:rsid w:val="00E95632"/>
    <w:rsid w:val="00EB4209"/>
    <w:rsid w:val="00ED7580"/>
    <w:rsid w:val="00EE5F97"/>
    <w:rsid w:val="00F32C6E"/>
    <w:rsid w:val="00F439A6"/>
    <w:rsid w:val="00F51061"/>
    <w:rsid w:val="00F542DB"/>
    <w:rsid w:val="00F54F30"/>
    <w:rsid w:val="00F60D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D7C9E0"/>
  <w15:chartTrackingRefBased/>
  <w15:docId w15:val="{29C811AB-CBBC-344E-8E60-FA12B690B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00" w:lineRule="atLeast"/>
    </w:pPr>
    <w:rPr>
      <w:rFonts w:ascii="Aptos" w:hAnsi="Aptos"/>
      <w:sz w:val="18"/>
    </w:rPr>
  </w:style>
  <w:style w:type="paragraph" w:styleId="Heading1">
    <w:name w:val="heading 1"/>
    <w:basedOn w:val="Normal"/>
    <w:next w:val="Normal"/>
    <w:link w:val="Heading1Char"/>
    <w:uiPriority w:val="9"/>
    <w:qFormat/>
    <w:rsid w:val="003264AD"/>
    <w:pPr>
      <w:keepNext/>
      <w:keepLines/>
      <w:spacing w:before="80" w:line="240" w:lineRule="atLeast"/>
      <w:outlineLvl w:val="0"/>
    </w:pPr>
    <w:rPr>
      <w:rFonts w:ascii="Aptos Display" w:eastAsiaTheme="majorEastAsia" w:hAnsi="Aptos Display" w:cstheme="majorBidi"/>
      <w:color w:val="0F4761"/>
      <w:sz w:val="26"/>
      <w:szCs w:val="40"/>
    </w:rPr>
  </w:style>
  <w:style w:type="paragraph" w:styleId="Heading2">
    <w:name w:val="heading 2"/>
    <w:basedOn w:val="Normal"/>
    <w:next w:val="Normal"/>
    <w:link w:val="Heading2Char"/>
    <w:uiPriority w:val="9"/>
    <w:semiHidden/>
    <w:unhideWhenUsed/>
    <w:qFormat/>
    <w:rsid w:val="003264AD"/>
    <w:pPr>
      <w:keepNext/>
      <w:keepLines/>
      <w:spacing w:before="80" w:line="220" w:lineRule="atLeast"/>
      <w:outlineLvl w:val="1"/>
    </w:pPr>
    <w:rPr>
      <w:rFonts w:ascii="Aptos Display" w:eastAsiaTheme="majorEastAsia" w:hAnsi="Aptos Display" w:cstheme="majorBidi"/>
      <w:color w:val="0F4761"/>
      <w:sz w:val="24"/>
      <w:szCs w:val="32"/>
    </w:rPr>
  </w:style>
  <w:style w:type="paragraph" w:styleId="Heading3">
    <w:name w:val="heading 3"/>
    <w:basedOn w:val="Normal"/>
    <w:next w:val="Normal"/>
    <w:link w:val="Heading3Char"/>
    <w:uiPriority w:val="9"/>
    <w:semiHidden/>
    <w:unhideWhenUsed/>
    <w:qFormat/>
    <w:rsid w:val="00326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4AD"/>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4AD"/>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4AD"/>
    <w:rPr>
      <w:rFonts w:ascii="Aptos Display" w:eastAsiaTheme="majorEastAsia" w:hAnsi="Aptos Display" w:cstheme="majorBidi"/>
      <w:color w:val="0F4761"/>
      <w:sz w:val="26"/>
      <w:szCs w:val="40"/>
    </w:rPr>
  </w:style>
  <w:style w:type="character" w:customStyle="1" w:styleId="Heading2Char">
    <w:name w:val="Heading 2 Char"/>
    <w:basedOn w:val="DefaultParagraphFont"/>
    <w:link w:val="Heading2"/>
    <w:uiPriority w:val="9"/>
    <w:semiHidden/>
    <w:rsid w:val="003264AD"/>
    <w:rPr>
      <w:rFonts w:ascii="Aptos Display" w:eastAsiaTheme="majorEastAsia" w:hAnsi="Aptos Display" w:cstheme="majorBidi"/>
      <w:color w:val="0F4761"/>
      <w:szCs w:val="32"/>
    </w:rPr>
  </w:style>
  <w:style w:type="character" w:customStyle="1" w:styleId="Heading3Char">
    <w:name w:val="Heading 3 Char"/>
    <w:basedOn w:val="DefaultParagraphFont"/>
    <w:link w:val="Heading3"/>
    <w:uiPriority w:val="9"/>
    <w:semiHidden/>
    <w:rsid w:val="00326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4AD"/>
    <w:rPr>
      <w:rFonts w:eastAsiaTheme="majorEastAsia" w:cstheme="majorBidi"/>
      <w:color w:val="272727" w:themeColor="text1" w:themeTint="D8"/>
    </w:rPr>
  </w:style>
  <w:style w:type="paragraph" w:styleId="Title">
    <w:name w:val="Title"/>
    <w:basedOn w:val="Normal"/>
    <w:next w:val="Normal"/>
    <w:link w:val="TitleChar"/>
    <w:uiPriority w:val="10"/>
    <w:qFormat/>
    <w:rsid w:val="00326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4AD"/>
    <w:pPr>
      <w:spacing w:before="160"/>
      <w:jc w:val="center"/>
    </w:pPr>
    <w:rPr>
      <w:i/>
      <w:iCs/>
      <w:color w:val="404040" w:themeColor="text1" w:themeTint="BF"/>
    </w:rPr>
  </w:style>
  <w:style w:type="character" w:customStyle="1" w:styleId="QuoteChar">
    <w:name w:val="Quote Char"/>
    <w:basedOn w:val="DefaultParagraphFont"/>
    <w:link w:val="Quote"/>
    <w:uiPriority w:val="29"/>
    <w:rsid w:val="003264AD"/>
    <w:rPr>
      <w:i/>
      <w:iCs/>
      <w:color w:val="404040" w:themeColor="text1" w:themeTint="BF"/>
    </w:rPr>
  </w:style>
  <w:style w:type="paragraph" w:styleId="ListParagraph">
    <w:name w:val="List Paragraph"/>
    <w:basedOn w:val="Normal"/>
    <w:uiPriority w:val="34"/>
    <w:qFormat/>
    <w:rsid w:val="003264AD"/>
    <w:pPr>
      <w:ind w:left="720"/>
      <w:contextualSpacing/>
    </w:pPr>
  </w:style>
  <w:style w:type="character" w:styleId="IntenseEmphasis">
    <w:name w:val="Intense Emphasis"/>
    <w:basedOn w:val="DefaultParagraphFont"/>
    <w:uiPriority w:val="21"/>
    <w:qFormat/>
    <w:rsid w:val="003264AD"/>
    <w:rPr>
      <w:i/>
      <w:iCs/>
      <w:color w:val="0F4761" w:themeColor="accent1" w:themeShade="BF"/>
    </w:rPr>
  </w:style>
  <w:style w:type="paragraph" w:styleId="IntenseQuote">
    <w:name w:val="Intense Quote"/>
    <w:basedOn w:val="Normal"/>
    <w:next w:val="Normal"/>
    <w:link w:val="IntenseQuoteChar"/>
    <w:uiPriority w:val="30"/>
    <w:qFormat/>
    <w:rsid w:val="00326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4AD"/>
    <w:rPr>
      <w:i/>
      <w:iCs/>
      <w:color w:val="0F4761" w:themeColor="accent1" w:themeShade="BF"/>
    </w:rPr>
  </w:style>
  <w:style w:type="character" w:styleId="IntenseReference">
    <w:name w:val="Intense Reference"/>
    <w:basedOn w:val="DefaultParagraphFont"/>
    <w:uiPriority w:val="32"/>
    <w:qFormat/>
    <w:rsid w:val="003264AD"/>
    <w:rPr>
      <w:b/>
      <w:bCs/>
      <w:smallCaps/>
      <w:color w:val="0F4761" w:themeColor="accent1" w:themeShade="BF"/>
      <w:spacing w:val="5"/>
    </w:rPr>
  </w:style>
  <w:style w:type="character" w:styleId="BookTitle">
    <w:name w:val="Book Title"/>
    <w:basedOn w:val="DefaultParagraphFont"/>
    <w:uiPriority w:val="33"/>
    <w:qFormat/>
    <w:rsid w:val="003264AD"/>
    <w:rPr>
      <w:b/>
      <w:bCs/>
      <w:i/>
      <w:iCs/>
      <w:spacing w:val="5"/>
    </w:rPr>
  </w:style>
  <w:style w:type="paragraph" w:styleId="Caption">
    <w:name w:val="caption"/>
    <w:basedOn w:val="Normal"/>
    <w:next w:val="Normal"/>
    <w:uiPriority w:val="35"/>
    <w:semiHidden/>
    <w:unhideWhenUsed/>
    <w:qFormat/>
    <w:rsid w:val="003264AD"/>
    <w:pPr>
      <w:spacing w:after="200" w:line="240" w:lineRule="auto"/>
    </w:pPr>
    <w:rPr>
      <w:i/>
      <w:iCs/>
      <w:color w:val="0E2841" w:themeColor="text2"/>
      <w:szCs w:val="18"/>
    </w:rPr>
  </w:style>
  <w:style w:type="character" w:styleId="Emphasis">
    <w:name w:val="Emphasis"/>
    <w:basedOn w:val="DefaultParagraphFont"/>
    <w:uiPriority w:val="20"/>
    <w:qFormat/>
    <w:rsid w:val="003264AD"/>
    <w:rPr>
      <w:i/>
      <w:iCs/>
    </w:rPr>
  </w:style>
  <w:style w:type="paragraph" w:styleId="NoSpacing">
    <w:name w:val="No Spacing"/>
    <w:uiPriority w:val="1"/>
    <w:qFormat/>
    <w:rsid w:val="003264AD"/>
    <w:pPr>
      <w:spacing w:after="0" w:line="240" w:lineRule="auto"/>
    </w:pPr>
  </w:style>
  <w:style w:type="character" w:styleId="Strong">
    <w:name w:val="Strong"/>
    <w:basedOn w:val="DefaultParagraphFont"/>
    <w:uiPriority w:val="22"/>
    <w:qFormat/>
    <w:rsid w:val="003264AD"/>
    <w:rPr>
      <w:b/>
      <w:bCs/>
    </w:rPr>
  </w:style>
  <w:style w:type="character" w:styleId="SubtleEmphasis">
    <w:name w:val="Subtle Emphasis"/>
    <w:basedOn w:val="DefaultParagraphFont"/>
    <w:uiPriority w:val="19"/>
    <w:qFormat/>
    <w:rsid w:val="003264AD"/>
    <w:rPr>
      <w:i/>
      <w:iCs/>
      <w:color w:val="404040" w:themeColor="text1" w:themeTint="BF"/>
    </w:rPr>
  </w:style>
  <w:style w:type="character" w:styleId="SubtleReference">
    <w:name w:val="Subtle Reference"/>
    <w:basedOn w:val="DefaultParagraphFont"/>
    <w:uiPriority w:val="31"/>
    <w:qFormat/>
    <w:rsid w:val="003264AD"/>
    <w:rPr>
      <w:smallCaps/>
      <w:color w:val="5A5A5A" w:themeColor="text1" w:themeTint="A5"/>
    </w:rPr>
  </w:style>
  <w:style w:type="paragraph" w:styleId="TOCHeading">
    <w:name w:val="TOC Heading"/>
    <w:basedOn w:val="Heading1"/>
    <w:next w:val="Normal"/>
    <w:uiPriority w:val="39"/>
    <w:semiHidden/>
    <w:unhideWhenUsed/>
    <w:qFormat/>
    <w:rsid w:val="003264AD"/>
    <w:pPr>
      <w:spacing w:before="240" w:after="0"/>
      <w:outlineLvl w:val="9"/>
    </w:pPr>
    <w:rPr>
      <w:sz w:val="32"/>
      <w:szCs w:val="32"/>
    </w:rPr>
  </w:style>
  <w:style w:type="paragraph" w:styleId="NormalWeb">
    <w:name w:val="Normal (Web)"/>
    <w:basedOn w:val="Normal"/>
    <w:uiPriority w:val="99"/>
    <w:semiHidden/>
    <w:unhideWhenUsed/>
    <w:rsid w:val="003264AD"/>
    <w:pPr>
      <w:spacing w:before="100" w:beforeAutospacing="1" w:after="100" w:afterAutospacing="1" w:line="240" w:lineRule="auto"/>
    </w:pPr>
    <w:rPr>
      <w:rFonts w:ascii="Times New Roman" w:hAnsi="Times New Roman" w:cs="Times New Roman"/>
      <w:kern w:val="0"/>
      <w:lang w:eastAsia="en-GB"/>
      <w14:ligatures w14:val="none"/>
    </w:rPr>
  </w:style>
  <w:style w:type="table" w:styleId="GridTable4-Accent1">
    <w:name w:val="Grid Table 4 Accent 1"/>
    <w:basedOn w:val="TableNormal"/>
    <w:uiPriority w:val="49"/>
    <w:rsid w:val="00F54F3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7879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9C2"/>
  </w:style>
  <w:style w:type="paragraph" w:styleId="Footer">
    <w:name w:val="footer"/>
    <w:basedOn w:val="Normal"/>
    <w:link w:val="FooterChar"/>
    <w:uiPriority w:val="99"/>
    <w:unhideWhenUsed/>
    <w:rsid w:val="007879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840</Words>
  <Characters>5807</Characters>
  <Application>Microsoft Office Word</Application>
  <DocSecurity>0</DocSecurity>
  <Lines>187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Collis</dc:creator>
  <cp:keywords/>
  <dc:description/>
  <cp:lastModifiedBy>Bradley Collis</cp:lastModifiedBy>
  <cp:revision>3</cp:revision>
  <dcterms:created xsi:type="dcterms:W3CDTF">2026-09-25T09:06:00Z</dcterms:created>
  <dcterms:modified xsi:type="dcterms:W3CDTF">2026-09-25T09:07:00Z</dcterms:modified>
</cp:coreProperties>
</file>