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570"/>
        <w:gridCol w:w="2025"/>
        <w:gridCol w:w="2520"/>
        <w:gridCol w:w="3510"/>
        <w:gridCol w:w="3090"/>
        <w:tblGridChange w:id="0">
          <w:tblGrid>
            <w:gridCol w:w="870"/>
            <w:gridCol w:w="3570"/>
            <w:gridCol w:w="2025"/>
            <w:gridCol w:w="2520"/>
            <w:gridCol w:w="3510"/>
            <w:gridCol w:w="3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TASK 2: INITIAL TEST PLAN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TASK 3+4: DEBUGGING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Purpose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Action Needed/Comments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Check that the program runs.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*open program*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Program runs and displays menu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Program runs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i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i w:val="1"/>
                <w:rtl w:val="0"/>
              </w:rPr>
              <w:t xml:space="preserve">No action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the program only accepts correct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*symbols / numbers / nothing*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says try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Needed to add a check so that it only accepts the requested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that the accuracy is ordering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*required inputs*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will order by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wiped all text in the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Needed to make sure the write function does not just delete but instead actually records the other data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860.0787401574809" w:top="425.1968503937008" w:left="566.9291338582675" w:right="684.44881889763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