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To: Bankr Partnership Team</w:t>
      </w:r>
    </w:p>
    <w:p>
      <w:p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Re: Nexus Trading Labs x Bankr -- Skill Integration Proposal</w:t>
      </w:r>
    </w:p>
    <w:p>
      <w:pPr>
        <w:spacing w:after="3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From: Stephen Borst, Founder -- Nexus Trading Labs</w:t>
      </w:r>
    </w:p>
    <w:p>
      <w:pPr>
        <w:pBdr>
          <w:bottom w:val="single" w:color="CCCCCC" w:sz="4" w:space="6"/>
        </w:pBdr>
        <w:spacing w:after="280"/>
      </w:pP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Hyperliquid gives Bankr agents perps. Nexus gives Bankr agents verifiable perps -- every trade published on-chain, every leaderboard score immutable, every win and loss provable by anyone with an Arbitrum block explorer. That's the distinction. Orderly Network gives us the liquidity; ThesisRegistry gives us the moat.</w:t>
      </w:r>
    </w:p>
    <w:p>
      <w:pPr>
        <w:pBdr>
          <w:bottom w:val="single" w:color="EEEEEE" w:sz="2" w:space="4"/>
        </w:pBdr>
        <w:spacing w:after="14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product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Nexus Bankr skill is production-complete and ready for your integration review. Agents get:</w:t>
      </w:r>
    </w:p>
    <w:p>
      <w:pPr>
        <w:spacing w:after="100"/>
        <w:ind w:left="360"/>
      </w:pPr>
      <w:r>
        <w:rPr>
          <w:rFonts w:ascii="Arial" w:cs="Arial" w:eastAsia="Arial" w:hAnsi="Arial"/>
          <w:sz w:val="24"/>
          <w:szCs w:val="24"/>
        </w:rPr>
        <w:t xml:space="preserve">• RWA and equity index perps (NVDA, TSLA, SPX) alongside crypto -- markets Hyperliquid doesn't offer</w:t>
      </w:r>
    </w:p>
    <w:p>
      <w:pPr>
        <w:spacing w:after="100"/>
        <w:ind w:left="360"/>
      </w:pPr>
      <w:r>
        <w:rPr>
          <w:rFonts w:ascii="Arial" w:cs="Arial" w:eastAsia="Arial" w:hAnsi="Arial"/>
          <w:sz w:val="24"/>
          <w:szCs w:val="24"/>
        </w:rPr>
        <w:t xml:space="preserve">• On-chain thesis publishing via ThesisRegistry (Arbitrum, 0x2F4EdA890f96a7979d6f26bCB210cEDAD68346Bc) -- every entry, SL, and TP immutably registered</w:t>
      </w:r>
    </w:p>
    <w:p>
      <w:pPr>
        <w:spacing w:after="100"/>
        <w:ind w:left="360"/>
      </w:pPr>
      <w:r>
        <w:rPr>
          <w:rFonts w:ascii="Arial" w:cs="Arial" w:eastAsia="Arial" w:hAnsi="Arial"/>
          <w:sz w:val="24"/>
          <w:szCs w:val="24"/>
        </w:rPr>
        <w:t xml:space="preserve">• A trustless Rep Score leaderboard -- win rates and R:R pulled from on-chain data, not a database we control</w:t>
      </w:r>
    </w:p>
    <w:p>
      <w:pPr>
        <w:spacing w:after="100"/>
        <w:ind w:left="360"/>
      </w:pPr>
      <w:r>
        <w:rPr>
          <w:rFonts w:ascii="Arial" w:cs="Arial" w:eastAsia="Arial" w:hAnsi="Arial"/>
          <w:sz w:val="24"/>
          <w:szCs w:val="24"/>
        </w:rPr>
        <w:t xml:space="preserve">• Copy trading and social layer -- traders follow verified on-chain track records, not self-reported stats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Thesis publishing and copy trading create a fundamentally different retention mechanic than a swap. Users come back to check if their thesis hit TP, follow top traders, and build a verifiable on-chain record. That's daily active engagement, not one-off volume.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No other perp DEX in the Bankr ecosystem publishes trade data on-chain. That's what makes Nexus distinct from Hyperliquid -- not the market count.</w:t>
      </w:r>
    </w:p>
    <w:p>
      <w:pPr>
        <w:pBdr>
          <w:bottom w:val="single" w:color="EEEEEE" w:sz="2" w:space="4"/>
        </w:pBdr>
        <w:spacing w:after="14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Infrastructure and security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Nexus is built on Orderly Network's non-custodial infrastructure -- the same liquidity layer used by WOO X and other major perp frontends. Orderly maintains a multi-million dollar insurance fund and has undergone multiple third-party audits. The Nexus ThesisRegistry smart contract source is verified on Arbiscan. User funds never touch Nexus servers -- deposits go directly to Orderly's vault contract on Arbitrum.</w:t>
      </w:r>
    </w:p>
    <w:p>
      <w:pPr>
        <w:pBdr>
          <w:bottom w:val="single" w:color="EEEEEE" w:sz="2" w:space="4"/>
        </w:pBdr>
        <w:spacing w:after="14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Revenue proposal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We propose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25% of taker fee revenue on all Bankr-routed volume</w:t>
      </w:r>
      <w:r>
        <w:rPr>
          <w:rFonts w:ascii="Arial" w:cs="Arial" w:eastAsia="Arial" w:hAnsi="Arial"/>
          <w:sz w:val="24"/>
          <w:szCs w:val="24"/>
        </w:rPr>
        <w:t xml:space="preserve">, paid monthly in USDC. At $500k monthly routed volume, that's ~$375/month to Bankr on crypto taker fees alone -- scaling linearly. No lock-in, no minimums.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We're flexible on structure -- happy to align with whatever model works for your existing perp integrations.</w:t>
      </w:r>
    </w:p>
    <w:p>
      <w:pPr>
        <w:pBdr>
          <w:bottom w:val="single" w:color="EEEEEE" w:sz="2" w:space="4"/>
        </w:pBdr>
        <w:spacing w:after="14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we're asking for</w:t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Featured skill placement </w:t>
      </w:r>
      <w:r>
        <w:rPr>
          <w:rFonts w:ascii="Arial" w:cs="Arial" w:eastAsia="Arial" w:hAnsi="Arial"/>
          <w:sz w:val="24"/>
          <w:szCs w:val="24"/>
        </w:rPr>
        <w:t xml:space="preserve">in the Bankr catalog. The skill is production-ready -- this is a listing request, not an integration request.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Joint announcement: </w:t>
      </w:r>
      <w:r>
        <w:rPr>
          <w:rFonts w:ascii="Arial" w:cs="Arial" w:eastAsia="Arial" w:hAnsi="Arial"/>
          <w:sz w:val="24"/>
          <w:szCs w:val="24"/>
        </w:rPr>
        <w:t xml:space="preserve">the first perp DEX in the Bankr ecosystem with immutable on-chain trade verification. True, provable on Arbitrum, and a narrative hook neither of us can claim independently.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Positions tab -- when volume justifies it. </w:t>
      </w:r>
      <w:r>
        <w:rPr>
          <w:rFonts w:ascii="Arial" w:cs="Arial" w:eastAsia="Arial" w:hAnsi="Arial"/>
          <w:sz w:val="24"/>
          <w:szCs w:val="24"/>
        </w:rPr>
        <w:t xml:space="preserve">We're not asking for engineering investment upfront. If Bankr-routed volume crosses $500k/month within 90 days of launch, we'd love to revisit native positions tab integration.</w:t>
      </w:r>
    </w:p>
    <w:p>
      <w:pPr>
        <w:pBdr>
          <w:bottom w:val="single" w:color="EEEEEE" w:sz="2" w:space="4"/>
        </w:pBdr>
        <w:spacing w:after="14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Next steps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Happy to jump on a call to walk through the skill live, discuss revenue terms, and align on the announcement. Full skill source and Worker code available on request.</w:t>
      </w:r>
    </w:p>
    <w:p>
      <w:pPr>
        <w:pBdr>
          <w:bottom w:val="single" w:color="CCCCCC" w:sz="4" w:space="6"/>
        </w:pBdr>
        <w:spacing w:after="280"/>
      </w:pPr>
    </w:p>
    <w:p>
      <w:p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Stephen Borst -- Founder, Nexus Trading Labs</w:t>
      </w:r>
    </w:p>
    <w:p>
      <w:p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nexustradinglabs@proton.me  |  nexustradinglabs.com  |  trade.nexustradinglabs.com</w:t>
      </w:r>
    </w:p>
    <w:p>
      <w:pPr>
        <w:spacing w:after="60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@borstxbt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2026-05-11T19:02:41.112Z</dcterms:created>
  <dcterms:modified xsi:type="dcterms:W3CDTF">2026-05-11T19:02:41.112Z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