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To: Bankr Partnership Team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Re: Nexus Trading Labs × Bankr — Skill Integration Proposal</w:t>
      </w:r>
    </w:p>
    <w:p>
      <w:pPr>
        <w:spacing w:after="3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From: Stephen, Founder — Nexus Trading Labs</w:t>
      </w:r>
    </w:p>
    <w:p>
      <w:pPr>
        <w:pBdr>
          <w:bottom w:val="single" w:color="CCCCCC" w:sz="4" w:space="6"/>
        </w:pBdr>
        <w:spacing w:after="28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Hyperliquid gives Bankr agents perps. Nexus gives Bankr agents verifiable perps — every trade published on-chain, every leaderboard score immutable, every win and loss provable by anyone with an Arbitrum block explorer. That's the distinction. Orderly Network gives us the liquidity; ThesisRegistry gives us the moat.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product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Nexus Bankr skill is built, deployed, and passing your integration review today. Agents get: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Full perp execution across crypto, RWA, and equity index markets (NVDA, TSLA, SPX) via Orderly Network's shared liquidity — up to 100x leverage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On-chain thesis publishing via ThesisRegistry (Arbitrum, 0x2F4EdA890f96a7979d6f26bCB210cEDAD68346Bc) — every entry, SL, and TP immutably registered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A trustless Rep Score leaderboard — win rates and R:R pulled from on-chain data, not a database we control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Copy trading, social layer, and OG image generation for social sharing — all live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 other perp DEX integration in the Bankr ecosystem publishes trade data on-chain. That's what makes Nexus distinct from Hyperliquid, not the market count.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Infrastructure and security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Nexus is built on Orderly Network's non-custodial infrastructure — the same liquidity layer used by WOO X and other major perp frontends. Orderly maintains a multi-million dollar insurance fund and has undergone multiple third-party audits. The Nexus ThesisRegistry smart contract source is verified on Arbiscan. User funds never touch Nexus servers — deposits go directly to Orderly's vault contract on Arbitrum.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Revenue proposal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We propose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25% of taker fee revenue on all Bankr-routed volume</w:t>
      </w:r>
      <w:r>
        <w:rPr>
          <w:rFonts w:ascii="Arial" w:cs="Arial" w:eastAsia="Arial" w:hAnsi="Arial"/>
          <w:sz w:val="24"/>
          <w:szCs w:val="24"/>
        </w:rPr>
        <w:t xml:space="preserve">, paid monthly in USDC. No lock-in, no minimums. Orderly's public tier is 3 bps crypto taker / 5 bps RWA taker — at $1M monthly routed volume that's ~$750/month to Bankr at current rates, scaling linearly.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We're also open to a flat referral per registered wallet if that's simpler to model against your existing integrations.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we're asking for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Featured skill placement </w:t>
      </w:r>
      <w:r>
        <w:rPr>
          <w:rFonts w:ascii="Arial" w:cs="Arial" w:eastAsia="Arial" w:hAnsi="Arial"/>
          <w:sz w:val="24"/>
          <w:szCs w:val="24"/>
        </w:rPr>
        <w:t xml:space="preserve">in the Bankr catalog. The skill is production-ready — this is a listing request, not an integration request.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Joint announcement: </w:t>
      </w:r>
      <w:r>
        <w:rPr>
          <w:rFonts w:ascii="Arial" w:cs="Arial" w:eastAsia="Arial" w:hAnsi="Arial"/>
          <w:sz w:val="24"/>
          <w:szCs w:val="24"/>
        </w:rPr>
        <w:t xml:space="preserve">'First AI agent to trade perpetuals and publish a verified on-chain thesis.' This is true, provable on Arbitrum, and a narrative hook neither of us can claim independently.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Positions tab — when volume justifies it. </w:t>
      </w:r>
      <w:r>
        <w:rPr>
          <w:rFonts w:ascii="Arial" w:cs="Arial" w:eastAsia="Arial" w:hAnsi="Arial"/>
          <w:sz w:val="24"/>
          <w:szCs w:val="24"/>
        </w:rPr>
        <w:t xml:space="preserve">We're not asking for engineering investment upfront. If Bankr-routed volume crosses $500k/month within 90 days of launch, we'd love to revisit native positions tab integration.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Happy to jump on a call to walk through the skill live, discuss revenue terms, and align on the announcement. Full skill source and Worker code available on request.</w:t>
      </w:r>
    </w:p>
    <w:p>
      <w:pPr>
        <w:pBdr>
          <w:bottom w:val="single" w:color="CCCCCC" w:sz="4" w:space="6"/>
        </w:pBdr>
        <w:spacing w:after="280"/>
      </w:pP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Stephen — Founder, Nexus Trading Labs</w:t>
      </w: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@NexusTradingLab · nexustradinglabs.com · trade.nexustradinglabs.com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[Email] · [Telegram / Discord]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2026-05-11T16:52:08.520Z</dcterms:created>
  <dcterms:modified xsi:type="dcterms:W3CDTF">2026-05-11T16:52:08.524Z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