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8842" w14:textId="25D48116" w:rsidR="00461A0F" w:rsidRDefault="00000000" w:rsidP="005077AB">
      <w:pPr>
        <w:spacing w:after="80"/>
        <w:jc w:val="center"/>
      </w:pPr>
      <w:r>
        <w:rPr>
          <w:b/>
          <w:color w:val="1E3A5F"/>
          <w:sz w:val="40"/>
        </w:rPr>
        <w:t>Adaptive Differential Privacy Paper</w:t>
      </w:r>
      <w:r>
        <w:rPr>
          <w:b/>
          <w:color w:val="1E3A5F"/>
          <w:sz w:val="40"/>
        </w:rPr>
        <w:br/>
        <w:t>Variables, Symbols, Equations, and Key Results</w:t>
      </w:r>
    </w:p>
    <w:tbl>
      <w:tblPr>
        <w:tblStyle w:val="TableGrid"/>
        <w:tblW w:w="0" w:type="auto"/>
        <w:jc w:val="center"/>
        <w:tblBorders>
          <w:top w:val="single" w:sz="8" w:space="0" w:color="C8D6EA"/>
          <w:left w:val="single" w:sz="8" w:space="0" w:color="C8D6EA"/>
          <w:bottom w:val="single" w:sz="8" w:space="0" w:color="C8D6EA"/>
          <w:right w:val="single" w:sz="8" w:space="0" w:color="C8D6EA"/>
          <w:insideH w:val="single" w:sz="8" w:space="0" w:color="C8D6EA"/>
          <w:insideV w:val="single" w:sz="8" w:space="0" w:color="C8D6EA"/>
        </w:tblBorders>
        <w:tblLook w:val="04A0" w:firstRow="1" w:lastRow="0" w:firstColumn="1" w:lastColumn="0" w:noHBand="0" w:noVBand="1"/>
      </w:tblPr>
      <w:tblGrid>
        <w:gridCol w:w="9974"/>
      </w:tblGrid>
      <w:tr w:rsidR="00461A0F" w14:paraId="3BA678AA" w14:textId="77777777">
        <w:trPr>
          <w:jc w:val="center"/>
        </w:trPr>
        <w:tc>
          <w:tcPr>
            <w:tcW w:w="9994" w:type="dxa"/>
            <w:shd w:val="clear" w:color="auto" w:fill="EEF4FB"/>
            <w:tcMar>
              <w:top w:w="120" w:type="dxa"/>
              <w:left w:w="140" w:type="dxa"/>
              <w:bottom w:w="120" w:type="dxa"/>
              <w:right w:w="140" w:type="dxa"/>
            </w:tcMar>
          </w:tcPr>
          <w:p w14:paraId="2E6A3600" w14:textId="77777777" w:rsidR="00461A0F" w:rsidRDefault="00000000">
            <w:pPr>
              <w:spacing w:line="276" w:lineRule="auto"/>
            </w:pPr>
            <w:r>
              <w:t>Purpose. This reference sheet gathers every major symbol, variable, abbreviation, and equation explicitly used in the paper, plus the constants and result labels needed to interpret the figures and discussion. It also corrects omissions from the earlier short version.</w:t>
            </w:r>
          </w:p>
        </w:tc>
      </w:tr>
    </w:tbl>
    <w:p w14:paraId="7C6FE35A" w14:textId="77777777" w:rsidR="00461A0F" w:rsidRDefault="00000000">
      <w:pPr>
        <w:spacing w:before="200" w:after="120"/>
      </w:pPr>
      <w:r>
        <w:rPr>
          <w:b/>
          <w:color w:val="203656"/>
          <w:sz w:val="30"/>
        </w:rPr>
        <w:t>1. Core method at a glance</w:t>
      </w:r>
    </w:p>
    <w:p w14:paraId="6B71EC7A" w14:textId="77777777" w:rsidR="00461A0F" w:rsidRDefault="00000000">
      <w:pPr>
        <w:spacing w:after="120"/>
      </w:pPr>
      <w:r>
        <w:t xml:space="preserve">The paper uses </w:t>
      </w:r>
      <w:r>
        <w:rPr>
          <w:b/>
        </w:rPr>
        <w:t>adaptive differential privacy (ADP)</w:t>
      </w:r>
      <w:r>
        <w:t xml:space="preserve"> to sanitize smartwatch-derived features. A Stage-1 typing-risk model outputs </w:t>
      </w:r>
      <w:r>
        <w:rPr>
          <w:i/>
        </w:rPr>
        <w:t>r_i</w:t>
      </w:r>
      <w:r>
        <w:t xml:space="preserve">, and that risk score controls the privacy budget </w:t>
      </w:r>
      <w:r>
        <w:rPr>
          <w:i/>
        </w:rPr>
        <w:t>ε_i</w:t>
      </w:r>
      <w:r>
        <w:t xml:space="preserve"> for each window. Higher typing risk means a smaller privacy budget and therefore more Laplace noise; lower typing risk means a larger budget and less noise.</w:t>
      </w:r>
    </w:p>
    <w:p w14:paraId="0C89FD09" w14:textId="77777777" w:rsidR="00461A0F" w:rsidRDefault="00000000">
      <w:pPr>
        <w:spacing w:before="200" w:after="120"/>
      </w:pPr>
      <w:r>
        <w:rPr>
          <w:b/>
          <w:color w:val="203656"/>
          <w:sz w:val="30"/>
        </w:rPr>
        <w:t>2. Symbols and variables</w:t>
      </w:r>
    </w:p>
    <w:tbl>
      <w:tblPr>
        <w:tblStyle w:val="TableGrid"/>
        <w:tblW w:w="0" w:type="auto"/>
        <w:jc w:val="center"/>
        <w:tblBorders>
          <w:top w:val="single" w:sz="7" w:space="0" w:color="D6DDE8"/>
          <w:left w:val="single" w:sz="7" w:space="0" w:color="D6DDE8"/>
          <w:bottom w:val="single" w:sz="7" w:space="0" w:color="D6DDE8"/>
          <w:right w:val="single" w:sz="7" w:space="0" w:color="D6DDE8"/>
          <w:insideH w:val="single" w:sz="7" w:space="0" w:color="D6DDE8"/>
          <w:insideV w:val="single" w:sz="7" w:space="0" w:color="D6DDE8"/>
        </w:tblBorders>
        <w:tblLook w:val="04A0" w:firstRow="1" w:lastRow="0" w:firstColumn="1" w:lastColumn="0" w:noHBand="0" w:noVBand="1"/>
      </w:tblPr>
      <w:tblGrid>
        <w:gridCol w:w="1259"/>
        <w:gridCol w:w="2319"/>
        <w:gridCol w:w="6398"/>
      </w:tblGrid>
      <w:tr w:rsidR="00461A0F" w14:paraId="350C197A" w14:textId="77777777">
        <w:trPr>
          <w:tblHeader/>
          <w:jc w:val="center"/>
        </w:trPr>
        <w:tc>
          <w:tcPr>
            <w:tcW w:w="1296" w:type="dxa"/>
            <w:shd w:val="clear" w:color="auto" w:fill="DCE6F2"/>
            <w:tcMar>
              <w:top w:w="90" w:type="dxa"/>
              <w:left w:w="110" w:type="dxa"/>
              <w:bottom w:w="90" w:type="dxa"/>
              <w:right w:w="110" w:type="dxa"/>
            </w:tcMar>
            <w:vAlign w:val="center"/>
          </w:tcPr>
          <w:p w14:paraId="24BCE75C" w14:textId="77777777" w:rsidR="00461A0F" w:rsidRDefault="00000000">
            <w:pPr>
              <w:jc w:val="center"/>
            </w:pPr>
            <w:r>
              <w:rPr>
                <w:b/>
                <w:sz w:val="20"/>
              </w:rPr>
              <w:t>Symbol</w:t>
            </w:r>
          </w:p>
        </w:tc>
        <w:tc>
          <w:tcPr>
            <w:tcW w:w="2448" w:type="dxa"/>
            <w:shd w:val="clear" w:color="auto" w:fill="DCE6F2"/>
            <w:tcMar>
              <w:top w:w="90" w:type="dxa"/>
              <w:left w:w="110" w:type="dxa"/>
              <w:bottom w:w="90" w:type="dxa"/>
              <w:right w:w="110" w:type="dxa"/>
            </w:tcMar>
            <w:vAlign w:val="center"/>
          </w:tcPr>
          <w:p w14:paraId="7E048AE3" w14:textId="77777777" w:rsidR="00461A0F" w:rsidRDefault="00000000">
            <w:pPr>
              <w:jc w:val="center"/>
            </w:pPr>
            <w:r>
              <w:rPr>
                <w:b/>
                <w:sz w:val="20"/>
              </w:rPr>
              <w:t>Name</w:t>
            </w:r>
          </w:p>
        </w:tc>
        <w:tc>
          <w:tcPr>
            <w:tcW w:w="6912" w:type="dxa"/>
            <w:shd w:val="clear" w:color="auto" w:fill="DCE6F2"/>
            <w:tcMar>
              <w:top w:w="90" w:type="dxa"/>
              <w:left w:w="110" w:type="dxa"/>
              <w:bottom w:w="90" w:type="dxa"/>
              <w:right w:w="110" w:type="dxa"/>
            </w:tcMar>
            <w:vAlign w:val="center"/>
          </w:tcPr>
          <w:p w14:paraId="0F5117D6" w14:textId="77777777" w:rsidR="00461A0F" w:rsidRDefault="00000000">
            <w:pPr>
              <w:jc w:val="center"/>
            </w:pPr>
            <w:r>
              <w:rPr>
                <w:b/>
                <w:sz w:val="20"/>
              </w:rPr>
              <w:t>Meaning in the paper</w:t>
            </w:r>
          </w:p>
        </w:tc>
      </w:tr>
      <w:tr w:rsidR="00461A0F" w14:paraId="5EA56D35" w14:textId="77777777">
        <w:trPr>
          <w:jc w:val="center"/>
        </w:trPr>
        <w:tc>
          <w:tcPr>
            <w:tcW w:w="1296" w:type="dxa"/>
            <w:tcMar>
              <w:top w:w="80" w:type="dxa"/>
              <w:left w:w="100" w:type="dxa"/>
              <w:bottom w:w="80" w:type="dxa"/>
              <w:right w:w="100" w:type="dxa"/>
            </w:tcMar>
            <w:vAlign w:val="center"/>
          </w:tcPr>
          <w:p w14:paraId="2C3A21A8" w14:textId="77777777" w:rsidR="00461A0F" w:rsidRDefault="00000000">
            <w:pPr>
              <w:jc w:val="center"/>
            </w:pPr>
            <w:r>
              <w:rPr>
                <w:sz w:val="19"/>
              </w:rPr>
              <w:t>ε</w:t>
            </w:r>
          </w:p>
        </w:tc>
        <w:tc>
          <w:tcPr>
            <w:tcW w:w="2448" w:type="dxa"/>
            <w:tcMar>
              <w:top w:w="80" w:type="dxa"/>
              <w:left w:w="100" w:type="dxa"/>
              <w:bottom w:w="80" w:type="dxa"/>
              <w:right w:w="100" w:type="dxa"/>
            </w:tcMar>
            <w:vAlign w:val="center"/>
          </w:tcPr>
          <w:p w14:paraId="4D29F6AF" w14:textId="77777777" w:rsidR="00461A0F" w:rsidRDefault="00000000">
            <w:r>
              <w:rPr>
                <w:sz w:val="19"/>
              </w:rPr>
              <w:t>Privacy budget</w:t>
            </w:r>
          </w:p>
        </w:tc>
        <w:tc>
          <w:tcPr>
            <w:tcW w:w="6912" w:type="dxa"/>
            <w:tcMar>
              <w:top w:w="80" w:type="dxa"/>
              <w:left w:w="100" w:type="dxa"/>
              <w:bottom w:w="80" w:type="dxa"/>
              <w:right w:w="100" w:type="dxa"/>
            </w:tcMar>
            <w:vAlign w:val="center"/>
          </w:tcPr>
          <w:p w14:paraId="5DE96A72" w14:textId="77777777" w:rsidR="00461A0F" w:rsidRDefault="00000000">
            <w:r>
              <w:rPr>
                <w:sz w:val="19"/>
              </w:rPr>
              <w:t>Global differential privacy parameter controlling how much noise is added; lower ε means more noise and stronger privacy.</w:t>
            </w:r>
          </w:p>
        </w:tc>
      </w:tr>
      <w:tr w:rsidR="00461A0F" w14:paraId="70A97DD6" w14:textId="77777777">
        <w:trPr>
          <w:jc w:val="center"/>
        </w:trPr>
        <w:tc>
          <w:tcPr>
            <w:tcW w:w="1296" w:type="dxa"/>
            <w:tcMar>
              <w:top w:w="80" w:type="dxa"/>
              <w:left w:w="100" w:type="dxa"/>
              <w:bottom w:w="80" w:type="dxa"/>
              <w:right w:w="100" w:type="dxa"/>
            </w:tcMar>
            <w:vAlign w:val="center"/>
          </w:tcPr>
          <w:p w14:paraId="0B5B6346" w14:textId="77777777" w:rsidR="00461A0F" w:rsidRDefault="00000000">
            <w:pPr>
              <w:jc w:val="center"/>
            </w:pPr>
            <w:r>
              <w:rPr>
                <w:sz w:val="19"/>
              </w:rPr>
              <w:t>ε_t</w:t>
            </w:r>
          </w:p>
        </w:tc>
        <w:tc>
          <w:tcPr>
            <w:tcW w:w="2448" w:type="dxa"/>
            <w:tcMar>
              <w:top w:w="80" w:type="dxa"/>
              <w:left w:w="100" w:type="dxa"/>
              <w:bottom w:w="80" w:type="dxa"/>
              <w:right w:w="100" w:type="dxa"/>
            </w:tcMar>
            <w:vAlign w:val="center"/>
          </w:tcPr>
          <w:p w14:paraId="4BFC1FD0" w14:textId="77777777" w:rsidR="00461A0F" w:rsidRDefault="00000000">
            <w:r>
              <w:rPr>
                <w:sz w:val="19"/>
              </w:rPr>
              <w:t>Typing-side budget</w:t>
            </w:r>
          </w:p>
        </w:tc>
        <w:tc>
          <w:tcPr>
            <w:tcW w:w="6912" w:type="dxa"/>
            <w:tcMar>
              <w:top w:w="80" w:type="dxa"/>
              <w:left w:w="100" w:type="dxa"/>
              <w:bottom w:w="80" w:type="dxa"/>
              <w:right w:w="100" w:type="dxa"/>
            </w:tcMar>
            <w:vAlign w:val="center"/>
          </w:tcPr>
          <w:p w14:paraId="225D4EEC" w14:textId="77777777" w:rsidR="00461A0F" w:rsidRDefault="00000000">
            <w:r>
              <w:rPr>
                <w:sz w:val="19"/>
              </w:rPr>
              <w:t>Budget used for high-risk typing windows in the adaptive schedule. Swept over {0.05, 0.10, 0.20, 0.50, 1.00}.</w:t>
            </w:r>
          </w:p>
        </w:tc>
      </w:tr>
      <w:tr w:rsidR="00461A0F" w14:paraId="26A65D3A" w14:textId="77777777">
        <w:trPr>
          <w:jc w:val="center"/>
        </w:trPr>
        <w:tc>
          <w:tcPr>
            <w:tcW w:w="1296" w:type="dxa"/>
            <w:tcMar>
              <w:top w:w="80" w:type="dxa"/>
              <w:left w:w="100" w:type="dxa"/>
              <w:bottom w:w="80" w:type="dxa"/>
              <w:right w:w="100" w:type="dxa"/>
            </w:tcMar>
            <w:vAlign w:val="center"/>
          </w:tcPr>
          <w:p w14:paraId="314D6D3C" w14:textId="77777777" w:rsidR="00461A0F" w:rsidRDefault="00000000">
            <w:pPr>
              <w:jc w:val="center"/>
            </w:pPr>
            <w:r>
              <w:rPr>
                <w:sz w:val="19"/>
              </w:rPr>
              <w:t>ε_n</w:t>
            </w:r>
          </w:p>
        </w:tc>
        <w:tc>
          <w:tcPr>
            <w:tcW w:w="2448" w:type="dxa"/>
            <w:tcMar>
              <w:top w:w="80" w:type="dxa"/>
              <w:left w:w="100" w:type="dxa"/>
              <w:bottom w:w="80" w:type="dxa"/>
              <w:right w:w="100" w:type="dxa"/>
            </w:tcMar>
            <w:vAlign w:val="center"/>
          </w:tcPr>
          <w:p w14:paraId="02645F42" w14:textId="77777777" w:rsidR="00461A0F" w:rsidRDefault="00000000">
            <w:r>
              <w:rPr>
                <w:sz w:val="19"/>
              </w:rPr>
              <w:t>Non-typing-side budget</w:t>
            </w:r>
          </w:p>
        </w:tc>
        <w:tc>
          <w:tcPr>
            <w:tcW w:w="6912" w:type="dxa"/>
            <w:tcMar>
              <w:top w:w="80" w:type="dxa"/>
              <w:left w:w="100" w:type="dxa"/>
              <w:bottom w:w="80" w:type="dxa"/>
              <w:right w:w="100" w:type="dxa"/>
            </w:tcMar>
            <w:vAlign w:val="center"/>
          </w:tcPr>
          <w:p w14:paraId="5FA70CE4" w14:textId="77777777" w:rsidR="00461A0F" w:rsidRDefault="00000000">
            <w:r>
              <w:rPr>
                <w:sz w:val="19"/>
              </w:rPr>
              <w:t>Budget used for lower-risk non-typing windows. Fixed at 2.0 in WISDM ADP experiments.</w:t>
            </w:r>
          </w:p>
        </w:tc>
      </w:tr>
      <w:tr w:rsidR="00461A0F" w14:paraId="558B8294" w14:textId="77777777">
        <w:trPr>
          <w:jc w:val="center"/>
        </w:trPr>
        <w:tc>
          <w:tcPr>
            <w:tcW w:w="1296" w:type="dxa"/>
            <w:tcMar>
              <w:top w:w="80" w:type="dxa"/>
              <w:left w:w="100" w:type="dxa"/>
              <w:bottom w:w="80" w:type="dxa"/>
              <w:right w:w="100" w:type="dxa"/>
            </w:tcMar>
            <w:vAlign w:val="center"/>
          </w:tcPr>
          <w:p w14:paraId="57532EBE" w14:textId="77777777" w:rsidR="00461A0F" w:rsidRDefault="00000000">
            <w:pPr>
              <w:jc w:val="center"/>
            </w:pPr>
            <w:r>
              <w:rPr>
                <w:sz w:val="19"/>
              </w:rPr>
              <w:t>ε_i</w:t>
            </w:r>
          </w:p>
        </w:tc>
        <w:tc>
          <w:tcPr>
            <w:tcW w:w="2448" w:type="dxa"/>
            <w:tcMar>
              <w:top w:w="80" w:type="dxa"/>
              <w:left w:w="100" w:type="dxa"/>
              <w:bottom w:w="80" w:type="dxa"/>
              <w:right w:w="100" w:type="dxa"/>
            </w:tcMar>
            <w:vAlign w:val="center"/>
          </w:tcPr>
          <w:p w14:paraId="2D352377" w14:textId="77777777" w:rsidR="00461A0F" w:rsidRDefault="00000000">
            <w:r>
              <w:rPr>
                <w:sz w:val="19"/>
              </w:rPr>
              <w:t>Per-row realized budget</w:t>
            </w:r>
          </w:p>
        </w:tc>
        <w:tc>
          <w:tcPr>
            <w:tcW w:w="6912" w:type="dxa"/>
            <w:tcMar>
              <w:top w:w="80" w:type="dxa"/>
              <w:left w:w="100" w:type="dxa"/>
              <w:bottom w:w="80" w:type="dxa"/>
              <w:right w:w="100" w:type="dxa"/>
            </w:tcMar>
            <w:vAlign w:val="center"/>
          </w:tcPr>
          <w:p w14:paraId="6A9E4A0B" w14:textId="77777777" w:rsidR="00461A0F" w:rsidRDefault="00000000">
            <w:r>
              <w:rPr>
                <w:sz w:val="19"/>
              </w:rPr>
              <w:t>Budget assigned to row/window i before feature-wise noise is added; derived from risk score and then jittered/clipped.</w:t>
            </w:r>
          </w:p>
        </w:tc>
      </w:tr>
      <w:tr w:rsidR="00461A0F" w14:paraId="11CBECAA" w14:textId="77777777">
        <w:trPr>
          <w:jc w:val="center"/>
        </w:trPr>
        <w:tc>
          <w:tcPr>
            <w:tcW w:w="1296" w:type="dxa"/>
            <w:tcMar>
              <w:top w:w="80" w:type="dxa"/>
              <w:left w:w="100" w:type="dxa"/>
              <w:bottom w:w="80" w:type="dxa"/>
              <w:right w:w="100" w:type="dxa"/>
            </w:tcMar>
            <w:vAlign w:val="center"/>
          </w:tcPr>
          <w:p w14:paraId="641D47E6" w14:textId="77777777" w:rsidR="00461A0F" w:rsidRDefault="00000000">
            <w:pPr>
              <w:jc w:val="center"/>
            </w:pPr>
            <w:r>
              <w:rPr>
                <w:sz w:val="19"/>
              </w:rPr>
              <w:t>ε_row,i</w:t>
            </w:r>
          </w:p>
        </w:tc>
        <w:tc>
          <w:tcPr>
            <w:tcW w:w="2448" w:type="dxa"/>
            <w:tcMar>
              <w:top w:w="80" w:type="dxa"/>
              <w:left w:w="100" w:type="dxa"/>
              <w:bottom w:w="80" w:type="dxa"/>
              <w:right w:w="100" w:type="dxa"/>
            </w:tcMar>
            <w:vAlign w:val="center"/>
          </w:tcPr>
          <w:p w14:paraId="525C1E1E" w14:textId="77777777" w:rsidR="00461A0F" w:rsidRDefault="00000000">
            <w:r>
              <w:rPr>
                <w:sz w:val="19"/>
              </w:rPr>
              <w:t>Per-row composed privacy cost</w:t>
            </w:r>
          </w:p>
        </w:tc>
        <w:tc>
          <w:tcPr>
            <w:tcW w:w="6912" w:type="dxa"/>
            <w:tcMar>
              <w:top w:w="80" w:type="dxa"/>
              <w:left w:w="100" w:type="dxa"/>
              <w:bottom w:w="80" w:type="dxa"/>
              <w:right w:w="100" w:type="dxa"/>
            </w:tcMar>
            <w:vAlign w:val="center"/>
          </w:tcPr>
          <w:p w14:paraId="32FC3D64" w14:textId="77777777" w:rsidR="00461A0F" w:rsidRDefault="00000000">
            <w:r>
              <w:rPr>
                <w:sz w:val="19"/>
              </w:rPr>
              <w:t>Sequentially composed privacy cost for one released row i across all d features: ε_row,i = d·ε_i.</w:t>
            </w:r>
          </w:p>
        </w:tc>
      </w:tr>
      <w:tr w:rsidR="00461A0F" w14:paraId="593A21A9" w14:textId="77777777">
        <w:trPr>
          <w:jc w:val="center"/>
        </w:trPr>
        <w:tc>
          <w:tcPr>
            <w:tcW w:w="1296" w:type="dxa"/>
            <w:tcMar>
              <w:top w:w="80" w:type="dxa"/>
              <w:left w:w="100" w:type="dxa"/>
              <w:bottom w:w="80" w:type="dxa"/>
              <w:right w:w="100" w:type="dxa"/>
            </w:tcMar>
            <w:vAlign w:val="center"/>
          </w:tcPr>
          <w:p w14:paraId="5742E63C" w14:textId="77777777" w:rsidR="00461A0F" w:rsidRDefault="00000000">
            <w:pPr>
              <w:jc w:val="center"/>
            </w:pPr>
            <w:r>
              <w:rPr>
                <w:sz w:val="19"/>
              </w:rPr>
              <w:t>ε_row</w:t>
            </w:r>
          </w:p>
        </w:tc>
        <w:tc>
          <w:tcPr>
            <w:tcW w:w="2448" w:type="dxa"/>
            <w:tcMar>
              <w:top w:w="80" w:type="dxa"/>
              <w:left w:w="100" w:type="dxa"/>
              <w:bottom w:w="80" w:type="dxa"/>
              <w:right w:w="100" w:type="dxa"/>
            </w:tcMar>
            <w:vAlign w:val="center"/>
          </w:tcPr>
          <w:p w14:paraId="3C8779A4" w14:textId="77777777" w:rsidR="00461A0F" w:rsidRDefault="00000000">
            <w:r>
              <w:rPr>
                <w:sz w:val="19"/>
              </w:rPr>
              <w:t>Fixed per-row composed cost</w:t>
            </w:r>
          </w:p>
        </w:tc>
        <w:tc>
          <w:tcPr>
            <w:tcW w:w="6912" w:type="dxa"/>
            <w:tcMar>
              <w:top w:w="80" w:type="dxa"/>
              <w:left w:w="100" w:type="dxa"/>
              <w:bottom w:w="80" w:type="dxa"/>
              <w:right w:w="100" w:type="dxa"/>
            </w:tcMar>
            <w:vAlign w:val="center"/>
          </w:tcPr>
          <w:p w14:paraId="34526D5C" w14:textId="77777777" w:rsidR="00461A0F" w:rsidRDefault="00000000">
            <w:r>
              <w:rPr>
                <w:sz w:val="19"/>
              </w:rPr>
              <w:t>Row privacy cost in the fixed-DP case where ε_i is replaced with ε_f.</w:t>
            </w:r>
          </w:p>
        </w:tc>
      </w:tr>
      <w:tr w:rsidR="00461A0F" w14:paraId="27F3CE68" w14:textId="77777777">
        <w:trPr>
          <w:jc w:val="center"/>
        </w:trPr>
        <w:tc>
          <w:tcPr>
            <w:tcW w:w="1296" w:type="dxa"/>
            <w:tcMar>
              <w:top w:w="80" w:type="dxa"/>
              <w:left w:w="100" w:type="dxa"/>
              <w:bottom w:w="80" w:type="dxa"/>
              <w:right w:w="100" w:type="dxa"/>
            </w:tcMar>
            <w:vAlign w:val="center"/>
          </w:tcPr>
          <w:p w14:paraId="262A35ED" w14:textId="77777777" w:rsidR="00461A0F" w:rsidRDefault="00000000">
            <w:pPr>
              <w:jc w:val="center"/>
            </w:pPr>
            <w:r>
              <w:rPr>
                <w:sz w:val="19"/>
              </w:rPr>
              <w:t>ε_f</w:t>
            </w:r>
          </w:p>
        </w:tc>
        <w:tc>
          <w:tcPr>
            <w:tcW w:w="2448" w:type="dxa"/>
            <w:tcMar>
              <w:top w:w="80" w:type="dxa"/>
              <w:left w:w="100" w:type="dxa"/>
              <w:bottom w:w="80" w:type="dxa"/>
              <w:right w:w="100" w:type="dxa"/>
            </w:tcMar>
            <w:vAlign w:val="center"/>
          </w:tcPr>
          <w:p w14:paraId="3C637D4B" w14:textId="77777777" w:rsidR="00461A0F" w:rsidRDefault="00000000">
            <w:r>
              <w:rPr>
                <w:sz w:val="19"/>
              </w:rPr>
              <w:t>Fixed privacy budget</w:t>
            </w:r>
          </w:p>
        </w:tc>
        <w:tc>
          <w:tcPr>
            <w:tcW w:w="6912" w:type="dxa"/>
            <w:tcMar>
              <w:top w:w="80" w:type="dxa"/>
              <w:left w:w="100" w:type="dxa"/>
              <w:bottom w:w="80" w:type="dxa"/>
              <w:right w:w="100" w:type="dxa"/>
            </w:tcMar>
            <w:vAlign w:val="center"/>
          </w:tcPr>
          <w:p w14:paraId="4FCA88ED" w14:textId="77777777" w:rsidR="00461A0F" w:rsidRDefault="00000000">
            <w:r>
              <w:rPr>
                <w:sz w:val="19"/>
              </w:rPr>
              <w:t>Constant budget used in the Keystroke100 fixed-Laplace benchmark.</w:t>
            </w:r>
          </w:p>
        </w:tc>
      </w:tr>
      <w:tr w:rsidR="00461A0F" w14:paraId="75FB8854" w14:textId="77777777">
        <w:trPr>
          <w:jc w:val="center"/>
        </w:trPr>
        <w:tc>
          <w:tcPr>
            <w:tcW w:w="1296" w:type="dxa"/>
            <w:tcMar>
              <w:top w:w="80" w:type="dxa"/>
              <w:left w:w="100" w:type="dxa"/>
              <w:bottom w:w="80" w:type="dxa"/>
              <w:right w:w="100" w:type="dxa"/>
            </w:tcMar>
            <w:vAlign w:val="center"/>
          </w:tcPr>
          <w:p w14:paraId="4F422B3F" w14:textId="77777777" w:rsidR="00461A0F" w:rsidRDefault="00000000">
            <w:pPr>
              <w:jc w:val="center"/>
            </w:pPr>
            <w:r>
              <w:rPr>
                <w:sz w:val="19"/>
              </w:rPr>
              <w:t>r_i</w:t>
            </w:r>
          </w:p>
        </w:tc>
        <w:tc>
          <w:tcPr>
            <w:tcW w:w="2448" w:type="dxa"/>
            <w:tcMar>
              <w:top w:w="80" w:type="dxa"/>
              <w:left w:w="100" w:type="dxa"/>
              <w:bottom w:w="80" w:type="dxa"/>
              <w:right w:w="100" w:type="dxa"/>
            </w:tcMar>
            <w:vAlign w:val="center"/>
          </w:tcPr>
          <w:p w14:paraId="3881E3F5" w14:textId="77777777" w:rsidR="00461A0F" w:rsidRDefault="00000000">
            <w:r>
              <w:rPr>
                <w:sz w:val="19"/>
              </w:rPr>
              <w:t>Typing-risk score</w:t>
            </w:r>
          </w:p>
        </w:tc>
        <w:tc>
          <w:tcPr>
            <w:tcW w:w="6912" w:type="dxa"/>
            <w:tcMar>
              <w:top w:w="80" w:type="dxa"/>
              <w:left w:w="100" w:type="dxa"/>
              <w:bottom w:w="80" w:type="dxa"/>
              <w:right w:w="100" w:type="dxa"/>
            </w:tcMar>
            <w:vAlign w:val="center"/>
          </w:tcPr>
          <w:p w14:paraId="6A130033" w14:textId="77777777" w:rsidR="00461A0F" w:rsidRDefault="00000000">
            <w:r>
              <w:rPr>
                <w:sz w:val="19"/>
              </w:rPr>
              <w:t>Stage-1 model risk score in [0,1] estimating how likely window i is typing.</w:t>
            </w:r>
          </w:p>
        </w:tc>
      </w:tr>
      <w:tr w:rsidR="00461A0F" w14:paraId="4D149968" w14:textId="77777777">
        <w:trPr>
          <w:jc w:val="center"/>
        </w:trPr>
        <w:tc>
          <w:tcPr>
            <w:tcW w:w="1296" w:type="dxa"/>
            <w:tcMar>
              <w:top w:w="80" w:type="dxa"/>
              <w:left w:w="100" w:type="dxa"/>
              <w:bottom w:w="80" w:type="dxa"/>
              <w:right w:w="100" w:type="dxa"/>
            </w:tcMar>
            <w:vAlign w:val="center"/>
          </w:tcPr>
          <w:p w14:paraId="4DA9FC9F" w14:textId="77777777" w:rsidR="00461A0F" w:rsidRDefault="00000000">
            <w:pPr>
              <w:jc w:val="center"/>
            </w:pPr>
            <w:r>
              <w:rPr>
                <w:sz w:val="19"/>
              </w:rPr>
              <w:t>τ</w:t>
            </w:r>
          </w:p>
        </w:tc>
        <w:tc>
          <w:tcPr>
            <w:tcW w:w="2448" w:type="dxa"/>
            <w:tcMar>
              <w:top w:w="80" w:type="dxa"/>
              <w:left w:w="100" w:type="dxa"/>
              <w:bottom w:w="80" w:type="dxa"/>
              <w:right w:w="100" w:type="dxa"/>
            </w:tcMar>
            <w:vAlign w:val="center"/>
          </w:tcPr>
          <w:p w14:paraId="0D4D2E37" w14:textId="77777777" w:rsidR="00461A0F" w:rsidRDefault="00000000">
            <w:r>
              <w:rPr>
                <w:sz w:val="19"/>
              </w:rPr>
              <w:t>Gate threshold</w:t>
            </w:r>
          </w:p>
        </w:tc>
        <w:tc>
          <w:tcPr>
            <w:tcW w:w="6912" w:type="dxa"/>
            <w:tcMar>
              <w:top w:w="80" w:type="dxa"/>
              <w:left w:w="100" w:type="dxa"/>
              <w:bottom w:w="80" w:type="dxa"/>
              <w:right w:w="100" w:type="dxa"/>
            </w:tcMar>
            <w:vAlign w:val="center"/>
          </w:tcPr>
          <w:p w14:paraId="64F2AE46" w14:textId="77777777" w:rsidR="00461A0F" w:rsidRDefault="00000000">
            <w:r>
              <w:rPr>
                <w:sz w:val="19"/>
              </w:rPr>
              <w:t>Threshold used only for diagnostics (typing recall and over-trigger rate). Set to 0.60; it does not switch the smooth ε mapping.</w:t>
            </w:r>
          </w:p>
        </w:tc>
      </w:tr>
      <w:tr w:rsidR="00461A0F" w14:paraId="47DAB0CF" w14:textId="77777777">
        <w:trPr>
          <w:jc w:val="center"/>
        </w:trPr>
        <w:tc>
          <w:tcPr>
            <w:tcW w:w="1296" w:type="dxa"/>
            <w:tcMar>
              <w:top w:w="80" w:type="dxa"/>
              <w:left w:w="100" w:type="dxa"/>
              <w:bottom w:w="80" w:type="dxa"/>
              <w:right w:w="100" w:type="dxa"/>
            </w:tcMar>
            <w:vAlign w:val="center"/>
          </w:tcPr>
          <w:p w14:paraId="2A4E0CCA" w14:textId="77777777" w:rsidR="00461A0F" w:rsidRDefault="00000000">
            <w:pPr>
              <w:jc w:val="center"/>
            </w:pPr>
            <w:r>
              <w:rPr>
                <w:sz w:val="19"/>
              </w:rPr>
              <w:t>u_i</w:t>
            </w:r>
          </w:p>
        </w:tc>
        <w:tc>
          <w:tcPr>
            <w:tcW w:w="2448" w:type="dxa"/>
            <w:tcMar>
              <w:top w:w="80" w:type="dxa"/>
              <w:left w:w="100" w:type="dxa"/>
              <w:bottom w:w="80" w:type="dxa"/>
              <w:right w:w="100" w:type="dxa"/>
            </w:tcMar>
            <w:vAlign w:val="center"/>
          </w:tcPr>
          <w:p w14:paraId="0F4D6B57" w14:textId="77777777" w:rsidR="00461A0F" w:rsidRDefault="00000000">
            <w:r>
              <w:rPr>
                <w:sz w:val="19"/>
              </w:rPr>
              <w:t>Jitter variable</w:t>
            </w:r>
          </w:p>
        </w:tc>
        <w:tc>
          <w:tcPr>
            <w:tcW w:w="6912" w:type="dxa"/>
            <w:tcMar>
              <w:top w:w="80" w:type="dxa"/>
              <w:left w:w="100" w:type="dxa"/>
              <w:bottom w:w="80" w:type="dxa"/>
              <w:right w:w="100" w:type="dxa"/>
            </w:tcMar>
            <w:vAlign w:val="center"/>
          </w:tcPr>
          <w:p w14:paraId="281BA6CC" w14:textId="77777777" w:rsidR="00461A0F" w:rsidRDefault="00000000">
            <w:r>
              <w:rPr>
                <w:sz w:val="19"/>
              </w:rPr>
              <w:t>Random multiplicative jitter sampled from Uniform[-0.15, 0.15] and applied to ε_i to reduce exploitable deterministic artifacts.</w:t>
            </w:r>
          </w:p>
        </w:tc>
      </w:tr>
      <w:tr w:rsidR="00461A0F" w14:paraId="21F04012" w14:textId="77777777">
        <w:trPr>
          <w:jc w:val="center"/>
        </w:trPr>
        <w:tc>
          <w:tcPr>
            <w:tcW w:w="1296" w:type="dxa"/>
            <w:tcMar>
              <w:top w:w="80" w:type="dxa"/>
              <w:left w:w="100" w:type="dxa"/>
              <w:bottom w:w="80" w:type="dxa"/>
              <w:right w:w="100" w:type="dxa"/>
            </w:tcMar>
            <w:vAlign w:val="center"/>
          </w:tcPr>
          <w:p w14:paraId="2BBDC0BA" w14:textId="77777777" w:rsidR="00461A0F" w:rsidRDefault="00000000">
            <w:pPr>
              <w:jc w:val="center"/>
            </w:pPr>
            <w:r>
              <w:rPr>
                <w:sz w:val="19"/>
              </w:rPr>
              <w:t>L_j</w:t>
            </w:r>
          </w:p>
        </w:tc>
        <w:tc>
          <w:tcPr>
            <w:tcW w:w="2448" w:type="dxa"/>
            <w:tcMar>
              <w:top w:w="80" w:type="dxa"/>
              <w:left w:w="100" w:type="dxa"/>
              <w:bottom w:w="80" w:type="dxa"/>
              <w:right w:w="100" w:type="dxa"/>
            </w:tcMar>
            <w:vAlign w:val="center"/>
          </w:tcPr>
          <w:p w14:paraId="29977D02" w14:textId="77777777" w:rsidR="00461A0F" w:rsidRDefault="00000000">
            <w:r>
              <w:rPr>
                <w:sz w:val="19"/>
              </w:rPr>
              <w:t>Lower clipping bound</w:t>
            </w:r>
          </w:p>
        </w:tc>
        <w:tc>
          <w:tcPr>
            <w:tcW w:w="6912" w:type="dxa"/>
            <w:tcMar>
              <w:top w:w="80" w:type="dxa"/>
              <w:left w:w="100" w:type="dxa"/>
              <w:bottom w:w="80" w:type="dxa"/>
              <w:right w:w="100" w:type="dxa"/>
            </w:tcMar>
            <w:vAlign w:val="center"/>
          </w:tcPr>
          <w:p w14:paraId="33A37C9C" w14:textId="77777777" w:rsidR="00461A0F" w:rsidRDefault="00000000">
            <w:r>
              <w:rPr>
                <w:sz w:val="19"/>
              </w:rPr>
              <w:t>Lower training-split bound for feature j used before Laplace perturbation.</w:t>
            </w:r>
          </w:p>
        </w:tc>
      </w:tr>
      <w:tr w:rsidR="00461A0F" w14:paraId="21B43B11" w14:textId="77777777">
        <w:trPr>
          <w:jc w:val="center"/>
        </w:trPr>
        <w:tc>
          <w:tcPr>
            <w:tcW w:w="1296" w:type="dxa"/>
            <w:tcMar>
              <w:top w:w="80" w:type="dxa"/>
              <w:left w:w="100" w:type="dxa"/>
              <w:bottom w:w="80" w:type="dxa"/>
              <w:right w:w="100" w:type="dxa"/>
            </w:tcMar>
            <w:vAlign w:val="center"/>
          </w:tcPr>
          <w:p w14:paraId="18D6AC63" w14:textId="77777777" w:rsidR="00461A0F" w:rsidRDefault="00000000">
            <w:pPr>
              <w:jc w:val="center"/>
            </w:pPr>
            <w:r>
              <w:rPr>
                <w:sz w:val="19"/>
              </w:rPr>
              <w:t>U_j</w:t>
            </w:r>
          </w:p>
        </w:tc>
        <w:tc>
          <w:tcPr>
            <w:tcW w:w="2448" w:type="dxa"/>
            <w:tcMar>
              <w:top w:w="80" w:type="dxa"/>
              <w:left w:w="100" w:type="dxa"/>
              <w:bottom w:w="80" w:type="dxa"/>
              <w:right w:w="100" w:type="dxa"/>
            </w:tcMar>
            <w:vAlign w:val="center"/>
          </w:tcPr>
          <w:p w14:paraId="7EA00E21" w14:textId="77777777" w:rsidR="00461A0F" w:rsidRDefault="00000000">
            <w:r>
              <w:rPr>
                <w:sz w:val="19"/>
              </w:rPr>
              <w:t>Upper clipping bound</w:t>
            </w:r>
          </w:p>
        </w:tc>
        <w:tc>
          <w:tcPr>
            <w:tcW w:w="6912" w:type="dxa"/>
            <w:tcMar>
              <w:top w:w="80" w:type="dxa"/>
              <w:left w:w="100" w:type="dxa"/>
              <w:bottom w:w="80" w:type="dxa"/>
              <w:right w:w="100" w:type="dxa"/>
            </w:tcMar>
            <w:vAlign w:val="center"/>
          </w:tcPr>
          <w:p w14:paraId="5D4B02B8" w14:textId="77777777" w:rsidR="00461A0F" w:rsidRDefault="00000000">
            <w:r>
              <w:rPr>
                <w:sz w:val="19"/>
              </w:rPr>
              <w:t>Upper training-split bound for feature j used before Laplace perturbation.</w:t>
            </w:r>
          </w:p>
        </w:tc>
      </w:tr>
      <w:tr w:rsidR="00461A0F" w14:paraId="403D20F0" w14:textId="77777777">
        <w:trPr>
          <w:jc w:val="center"/>
        </w:trPr>
        <w:tc>
          <w:tcPr>
            <w:tcW w:w="1296" w:type="dxa"/>
            <w:tcMar>
              <w:top w:w="80" w:type="dxa"/>
              <w:left w:w="100" w:type="dxa"/>
              <w:bottom w:w="80" w:type="dxa"/>
              <w:right w:w="100" w:type="dxa"/>
            </w:tcMar>
            <w:vAlign w:val="center"/>
          </w:tcPr>
          <w:p w14:paraId="1A4AB612" w14:textId="77777777" w:rsidR="00461A0F" w:rsidRDefault="00000000">
            <w:pPr>
              <w:jc w:val="center"/>
            </w:pPr>
            <w:r>
              <w:rPr>
                <w:sz w:val="19"/>
              </w:rPr>
              <w:t>b_ij</w:t>
            </w:r>
          </w:p>
        </w:tc>
        <w:tc>
          <w:tcPr>
            <w:tcW w:w="2448" w:type="dxa"/>
            <w:tcMar>
              <w:top w:w="80" w:type="dxa"/>
              <w:left w:w="100" w:type="dxa"/>
              <w:bottom w:w="80" w:type="dxa"/>
              <w:right w:w="100" w:type="dxa"/>
            </w:tcMar>
            <w:vAlign w:val="center"/>
          </w:tcPr>
          <w:p w14:paraId="3F37A189" w14:textId="77777777" w:rsidR="00461A0F" w:rsidRDefault="00000000">
            <w:r>
              <w:rPr>
                <w:sz w:val="19"/>
              </w:rPr>
              <w:t>Laplace scale for feature j of row i</w:t>
            </w:r>
          </w:p>
        </w:tc>
        <w:tc>
          <w:tcPr>
            <w:tcW w:w="6912" w:type="dxa"/>
            <w:tcMar>
              <w:top w:w="80" w:type="dxa"/>
              <w:left w:w="100" w:type="dxa"/>
              <w:bottom w:w="80" w:type="dxa"/>
              <w:right w:w="100" w:type="dxa"/>
            </w:tcMar>
            <w:vAlign w:val="center"/>
          </w:tcPr>
          <w:p w14:paraId="543CEC2B" w14:textId="77777777" w:rsidR="00461A0F" w:rsidRDefault="00000000">
            <w:r>
              <w:rPr>
                <w:sz w:val="19"/>
              </w:rPr>
              <w:t>Feature-wise Laplace noise scale, computed from clipping range and ε_i.</w:t>
            </w:r>
          </w:p>
        </w:tc>
      </w:tr>
      <w:tr w:rsidR="00461A0F" w14:paraId="2785E97E" w14:textId="77777777">
        <w:trPr>
          <w:jc w:val="center"/>
        </w:trPr>
        <w:tc>
          <w:tcPr>
            <w:tcW w:w="1296" w:type="dxa"/>
            <w:tcMar>
              <w:top w:w="80" w:type="dxa"/>
              <w:left w:w="100" w:type="dxa"/>
              <w:bottom w:w="80" w:type="dxa"/>
              <w:right w:w="100" w:type="dxa"/>
            </w:tcMar>
            <w:vAlign w:val="center"/>
          </w:tcPr>
          <w:p w14:paraId="04255F92" w14:textId="77777777" w:rsidR="00461A0F" w:rsidRDefault="00000000">
            <w:pPr>
              <w:jc w:val="center"/>
            </w:pPr>
            <w:r>
              <w:rPr>
                <w:sz w:val="19"/>
              </w:rPr>
              <w:t>d</w:t>
            </w:r>
          </w:p>
        </w:tc>
        <w:tc>
          <w:tcPr>
            <w:tcW w:w="2448" w:type="dxa"/>
            <w:tcMar>
              <w:top w:w="80" w:type="dxa"/>
              <w:left w:w="100" w:type="dxa"/>
              <w:bottom w:w="80" w:type="dxa"/>
              <w:right w:w="100" w:type="dxa"/>
            </w:tcMar>
            <w:vAlign w:val="center"/>
          </w:tcPr>
          <w:p w14:paraId="28D02959" w14:textId="77777777" w:rsidR="00461A0F" w:rsidRDefault="00000000">
            <w:r>
              <w:rPr>
                <w:sz w:val="19"/>
              </w:rPr>
              <w:t>Feature count</w:t>
            </w:r>
          </w:p>
        </w:tc>
        <w:tc>
          <w:tcPr>
            <w:tcW w:w="6912" w:type="dxa"/>
            <w:tcMar>
              <w:top w:w="80" w:type="dxa"/>
              <w:left w:w="100" w:type="dxa"/>
              <w:bottom w:w="80" w:type="dxa"/>
              <w:right w:w="100" w:type="dxa"/>
            </w:tcMar>
            <w:vAlign w:val="center"/>
          </w:tcPr>
          <w:p w14:paraId="54CF15D8" w14:textId="77777777" w:rsidR="00461A0F" w:rsidRDefault="00000000">
            <w:r>
              <w:rPr>
                <w:sz w:val="19"/>
              </w:rPr>
              <w:t>Dimensionality of the released feature vector. d = 182 for WISDM and d = 13 for Keystroke100.</w:t>
            </w:r>
          </w:p>
        </w:tc>
      </w:tr>
      <w:tr w:rsidR="00461A0F" w14:paraId="101F38E6" w14:textId="77777777">
        <w:trPr>
          <w:jc w:val="center"/>
        </w:trPr>
        <w:tc>
          <w:tcPr>
            <w:tcW w:w="1296" w:type="dxa"/>
            <w:tcMar>
              <w:top w:w="80" w:type="dxa"/>
              <w:left w:w="100" w:type="dxa"/>
              <w:bottom w:w="80" w:type="dxa"/>
              <w:right w:w="100" w:type="dxa"/>
            </w:tcMar>
            <w:vAlign w:val="center"/>
          </w:tcPr>
          <w:p w14:paraId="575B6170" w14:textId="77777777" w:rsidR="00461A0F" w:rsidRDefault="00000000">
            <w:pPr>
              <w:jc w:val="center"/>
            </w:pPr>
            <w:r>
              <w:rPr>
                <w:sz w:val="19"/>
              </w:rPr>
              <w:lastRenderedPageBreak/>
              <w:t>i</w:t>
            </w:r>
          </w:p>
        </w:tc>
        <w:tc>
          <w:tcPr>
            <w:tcW w:w="2448" w:type="dxa"/>
            <w:tcMar>
              <w:top w:w="80" w:type="dxa"/>
              <w:left w:w="100" w:type="dxa"/>
              <w:bottom w:w="80" w:type="dxa"/>
              <w:right w:w="100" w:type="dxa"/>
            </w:tcMar>
            <w:vAlign w:val="center"/>
          </w:tcPr>
          <w:p w14:paraId="67B5D748" w14:textId="77777777" w:rsidR="00461A0F" w:rsidRDefault="00000000">
            <w:r>
              <w:rPr>
                <w:sz w:val="19"/>
              </w:rPr>
              <w:t>Row / sample index</w:t>
            </w:r>
          </w:p>
        </w:tc>
        <w:tc>
          <w:tcPr>
            <w:tcW w:w="6912" w:type="dxa"/>
            <w:tcMar>
              <w:top w:w="80" w:type="dxa"/>
              <w:left w:w="100" w:type="dxa"/>
              <w:bottom w:w="80" w:type="dxa"/>
              <w:right w:w="100" w:type="dxa"/>
            </w:tcMar>
            <w:vAlign w:val="center"/>
          </w:tcPr>
          <w:p w14:paraId="4610DDF1" w14:textId="77777777" w:rsidR="00461A0F" w:rsidRDefault="00000000">
            <w:r>
              <w:rPr>
                <w:sz w:val="19"/>
              </w:rPr>
              <w:t>Indexes a released feature vector or data window.</w:t>
            </w:r>
          </w:p>
        </w:tc>
      </w:tr>
      <w:tr w:rsidR="00461A0F" w14:paraId="646BFB70" w14:textId="77777777">
        <w:trPr>
          <w:jc w:val="center"/>
        </w:trPr>
        <w:tc>
          <w:tcPr>
            <w:tcW w:w="1296" w:type="dxa"/>
            <w:tcMar>
              <w:top w:w="80" w:type="dxa"/>
              <w:left w:w="100" w:type="dxa"/>
              <w:bottom w:w="80" w:type="dxa"/>
              <w:right w:w="100" w:type="dxa"/>
            </w:tcMar>
            <w:vAlign w:val="center"/>
          </w:tcPr>
          <w:p w14:paraId="18D69AEF" w14:textId="77777777" w:rsidR="00461A0F" w:rsidRDefault="00000000">
            <w:pPr>
              <w:jc w:val="center"/>
            </w:pPr>
            <w:r>
              <w:rPr>
                <w:sz w:val="19"/>
              </w:rPr>
              <w:t>j</w:t>
            </w:r>
          </w:p>
        </w:tc>
        <w:tc>
          <w:tcPr>
            <w:tcW w:w="2448" w:type="dxa"/>
            <w:tcMar>
              <w:top w:w="80" w:type="dxa"/>
              <w:left w:w="100" w:type="dxa"/>
              <w:bottom w:w="80" w:type="dxa"/>
              <w:right w:w="100" w:type="dxa"/>
            </w:tcMar>
            <w:vAlign w:val="center"/>
          </w:tcPr>
          <w:p w14:paraId="7C029252" w14:textId="77777777" w:rsidR="00461A0F" w:rsidRDefault="00000000">
            <w:r>
              <w:rPr>
                <w:sz w:val="19"/>
              </w:rPr>
              <w:t>Feature index</w:t>
            </w:r>
          </w:p>
        </w:tc>
        <w:tc>
          <w:tcPr>
            <w:tcW w:w="6912" w:type="dxa"/>
            <w:tcMar>
              <w:top w:w="80" w:type="dxa"/>
              <w:left w:w="100" w:type="dxa"/>
              <w:bottom w:w="80" w:type="dxa"/>
              <w:right w:w="100" w:type="dxa"/>
            </w:tcMar>
            <w:vAlign w:val="center"/>
          </w:tcPr>
          <w:p w14:paraId="09B44948" w14:textId="77777777" w:rsidR="00461A0F" w:rsidRDefault="00000000">
            <w:r>
              <w:rPr>
                <w:sz w:val="19"/>
              </w:rPr>
              <w:t>Indexes a single numeric feature within a row.</w:t>
            </w:r>
          </w:p>
        </w:tc>
      </w:tr>
      <w:tr w:rsidR="00461A0F" w14:paraId="6A80DF88" w14:textId="77777777">
        <w:trPr>
          <w:jc w:val="center"/>
        </w:trPr>
        <w:tc>
          <w:tcPr>
            <w:tcW w:w="1296" w:type="dxa"/>
            <w:tcMar>
              <w:top w:w="80" w:type="dxa"/>
              <w:left w:w="100" w:type="dxa"/>
              <w:bottom w:w="80" w:type="dxa"/>
              <w:right w:w="100" w:type="dxa"/>
            </w:tcMar>
            <w:vAlign w:val="center"/>
          </w:tcPr>
          <w:p w14:paraId="1D99DEF1" w14:textId="77777777" w:rsidR="00461A0F" w:rsidRDefault="00000000">
            <w:pPr>
              <w:jc w:val="center"/>
            </w:pPr>
            <w:r>
              <w:rPr>
                <w:sz w:val="19"/>
              </w:rPr>
              <w:t>ρ</w:t>
            </w:r>
          </w:p>
        </w:tc>
        <w:tc>
          <w:tcPr>
            <w:tcW w:w="2448" w:type="dxa"/>
            <w:tcMar>
              <w:top w:w="80" w:type="dxa"/>
              <w:left w:w="100" w:type="dxa"/>
              <w:bottom w:w="80" w:type="dxa"/>
              <w:right w:w="100" w:type="dxa"/>
            </w:tcMar>
            <w:vAlign w:val="center"/>
          </w:tcPr>
          <w:p w14:paraId="330A8291" w14:textId="77777777" w:rsidR="00461A0F" w:rsidRDefault="00000000">
            <w:r>
              <w:rPr>
                <w:sz w:val="19"/>
              </w:rPr>
              <w:t>Pearson correlation</w:t>
            </w:r>
          </w:p>
        </w:tc>
        <w:tc>
          <w:tcPr>
            <w:tcW w:w="6912" w:type="dxa"/>
            <w:tcMar>
              <w:top w:w="80" w:type="dxa"/>
              <w:left w:w="100" w:type="dxa"/>
              <w:bottom w:w="80" w:type="dxa"/>
              <w:right w:w="100" w:type="dxa"/>
            </w:tcMar>
            <w:vAlign w:val="center"/>
          </w:tcPr>
          <w:p w14:paraId="353FC54D" w14:textId="77777777" w:rsidR="00461A0F" w:rsidRDefault="00000000">
            <w:r>
              <w:rPr>
                <w:sz w:val="19"/>
              </w:rPr>
              <w:t>Used in the gate-attacker correlation diagnostic between attacker-aware predicted probabilities and binary gate state.</w:t>
            </w:r>
          </w:p>
        </w:tc>
      </w:tr>
      <w:tr w:rsidR="00461A0F" w14:paraId="1DAFCF97" w14:textId="77777777">
        <w:trPr>
          <w:jc w:val="center"/>
        </w:trPr>
        <w:tc>
          <w:tcPr>
            <w:tcW w:w="1296" w:type="dxa"/>
            <w:tcMar>
              <w:top w:w="80" w:type="dxa"/>
              <w:left w:w="100" w:type="dxa"/>
              <w:bottom w:w="80" w:type="dxa"/>
              <w:right w:w="100" w:type="dxa"/>
            </w:tcMar>
            <w:vAlign w:val="center"/>
          </w:tcPr>
          <w:p w14:paraId="6D0C45F6" w14:textId="77777777" w:rsidR="00461A0F" w:rsidRDefault="00000000">
            <w:pPr>
              <w:jc w:val="center"/>
            </w:pPr>
            <w:r>
              <w:rPr>
                <w:sz w:val="19"/>
              </w:rPr>
              <w:t>F</w:t>
            </w:r>
          </w:p>
        </w:tc>
        <w:tc>
          <w:tcPr>
            <w:tcW w:w="2448" w:type="dxa"/>
            <w:tcMar>
              <w:top w:w="80" w:type="dxa"/>
              <w:left w:w="100" w:type="dxa"/>
              <w:bottom w:w="80" w:type="dxa"/>
              <w:right w:w="100" w:type="dxa"/>
            </w:tcMar>
            <w:vAlign w:val="center"/>
          </w:tcPr>
          <w:p w14:paraId="0AE4DB3E" w14:textId="77777777" w:rsidR="00461A0F" w:rsidRDefault="00000000">
            <w:r>
              <w:rPr>
                <w:sz w:val="19"/>
              </w:rPr>
              <w:t>Typing label</w:t>
            </w:r>
          </w:p>
        </w:tc>
        <w:tc>
          <w:tcPr>
            <w:tcW w:w="6912" w:type="dxa"/>
            <w:tcMar>
              <w:top w:w="80" w:type="dxa"/>
              <w:left w:w="100" w:type="dxa"/>
              <w:bottom w:w="80" w:type="dxa"/>
              <w:right w:w="100" w:type="dxa"/>
            </w:tcMar>
            <w:vAlign w:val="center"/>
          </w:tcPr>
          <w:p w14:paraId="08BB8A28" w14:textId="77777777" w:rsidR="00461A0F" w:rsidRDefault="00000000">
            <w:r>
              <w:rPr>
                <w:sz w:val="19"/>
              </w:rPr>
              <w:t>WISDM activity label treated as typing-related positive.</w:t>
            </w:r>
          </w:p>
        </w:tc>
      </w:tr>
      <w:tr w:rsidR="00461A0F" w14:paraId="45614F4D" w14:textId="77777777">
        <w:trPr>
          <w:jc w:val="center"/>
        </w:trPr>
        <w:tc>
          <w:tcPr>
            <w:tcW w:w="1296" w:type="dxa"/>
            <w:tcMar>
              <w:top w:w="80" w:type="dxa"/>
              <w:left w:w="100" w:type="dxa"/>
              <w:bottom w:w="80" w:type="dxa"/>
              <w:right w:w="100" w:type="dxa"/>
            </w:tcMar>
            <w:vAlign w:val="center"/>
          </w:tcPr>
          <w:p w14:paraId="7CBB8A06" w14:textId="77777777" w:rsidR="00461A0F" w:rsidRDefault="00000000">
            <w:pPr>
              <w:jc w:val="center"/>
            </w:pPr>
            <w:r>
              <w:rPr>
                <w:sz w:val="19"/>
              </w:rPr>
              <w:t>Q</w:t>
            </w:r>
          </w:p>
        </w:tc>
        <w:tc>
          <w:tcPr>
            <w:tcW w:w="2448" w:type="dxa"/>
            <w:tcMar>
              <w:top w:w="80" w:type="dxa"/>
              <w:left w:w="100" w:type="dxa"/>
              <w:bottom w:w="80" w:type="dxa"/>
              <w:right w:w="100" w:type="dxa"/>
            </w:tcMar>
            <w:vAlign w:val="center"/>
          </w:tcPr>
          <w:p w14:paraId="41AB14E5" w14:textId="77777777" w:rsidR="00461A0F" w:rsidRDefault="00000000">
            <w:r>
              <w:rPr>
                <w:sz w:val="19"/>
              </w:rPr>
              <w:t>Writing label</w:t>
            </w:r>
          </w:p>
        </w:tc>
        <w:tc>
          <w:tcPr>
            <w:tcW w:w="6912" w:type="dxa"/>
            <w:tcMar>
              <w:top w:w="80" w:type="dxa"/>
              <w:left w:w="100" w:type="dxa"/>
              <w:bottom w:w="80" w:type="dxa"/>
              <w:right w:w="100" w:type="dxa"/>
            </w:tcMar>
            <w:vAlign w:val="center"/>
          </w:tcPr>
          <w:p w14:paraId="5B4D73D3" w14:textId="77777777" w:rsidR="00461A0F" w:rsidRDefault="00000000">
            <w:r>
              <w:rPr>
                <w:sz w:val="19"/>
              </w:rPr>
              <w:t>WISDM activity label also treated as typing-related positive.</w:t>
            </w:r>
          </w:p>
        </w:tc>
      </w:tr>
    </w:tbl>
    <w:p w14:paraId="412C1B28" w14:textId="77777777" w:rsidR="00461A0F" w:rsidRDefault="00000000">
      <w:pPr>
        <w:spacing w:before="200" w:after="120"/>
      </w:pPr>
      <w:r>
        <w:rPr>
          <w:b/>
          <w:color w:val="203656"/>
          <w:sz w:val="30"/>
        </w:rPr>
        <w:t>3. Result labels and abbreviations</w:t>
      </w:r>
    </w:p>
    <w:tbl>
      <w:tblPr>
        <w:tblStyle w:val="TableGrid"/>
        <w:tblW w:w="0" w:type="auto"/>
        <w:jc w:val="center"/>
        <w:tblBorders>
          <w:top w:val="single" w:sz="7" w:space="0" w:color="D6DDE8"/>
          <w:left w:val="single" w:sz="7" w:space="0" w:color="D6DDE8"/>
          <w:bottom w:val="single" w:sz="7" w:space="0" w:color="D6DDE8"/>
          <w:right w:val="single" w:sz="7" w:space="0" w:color="D6DDE8"/>
          <w:insideH w:val="single" w:sz="7" w:space="0" w:color="D6DDE8"/>
          <w:insideV w:val="single" w:sz="7" w:space="0" w:color="D6DDE8"/>
        </w:tblBorders>
        <w:tblLook w:val="04A0" w:firstRow="1" w:lastRow="0" w:firstColumn="1" w:lastColumn="0" w:noHBand="0" w:noVBand="1"/>
      </w:tblPr>
      <w:tblGrid>
        <w:gridCol w:w="1647"/>
        <w:gridCol w:w="8329"/>
      </w:tblGrid>
      <w:tr w:rsidR="00461A0F" w14:paraId="5A96596C" w14:textId="77777777">
        <w:trPr>
          <w:tblHeader/>
          <w:jc w:val="center"/>
        </w:trPr>
        <w:tc>
          <w:tcPr>
            <w:tcW w:w="1728" w:type="dxa"/>
            <w:shd w:val="clear" w:color="auto" w:fill="EAF1E6"/>
            <w:tcMar>
              <w:top w:w="90" w:type="dxa"/>
              <w:left w:w="110" w:type="dxa"/>
              <w:bottom w:w="90" w:type="dxa"/>
              <w:right w:w="110" w:type="dxa"/>
            </w:tcMar>
            <w:vAlign w:val="center"/>
          </w:tcPr>
          <w:p w14:paraId="541AB3BC" w14:textId="77777777" w:rsidR="00461A0F" w:rsidRDefault="00000000">
            <w:pPr>
              <w:jc w:val="center"/>
            </w:pPr>
            <w:r>
              <w:rPr>
                <w:b/>
                <w:sz w:val="20"/>
              </w:rPr>
              <w:t>Label</w:t>
            </w:r>
          </w:p>
        </w:tc>
        <w:tc>
          <w:tcPr>
            <w:tcW w:w="8928" w:type="dxa"/>
            <w:shd w:val="clear" w:color="auto" w:fill="EAF1E6"/>
            <w:tcMar>
              <w:top w:w="90" w:type="dxa"/>
              <w:left w:w="110" w:type="dxa"/>
              <w:bottom w:w="90" w:type="dxa"/>
              <w:right w:w="110" w:type="dxa"/>
            </w:tcMar>
            <w:vAlign w:val="center"/>
          </w:tcPr>
          <w:p w14:paraId="1F6E03D9" w14:textId="77777777" w:rsidR="00461A0F" w:rsidRDefault="00000000">
            <w:pPr>
              <w:jc w:val="center"/>
            </w:pPr>
            <w:r>
              <w:rPr>
                <w:b/>
                <w:sz w:val="20"/>
              </w:rPr>
              <w:t>Meaning</w:t>
            </w:r>
          </w:p>
        </w:tc>
      </w:tr>
      <w:tr w:rsidR="00461A0F" w14:paraId="586DCB84" w14:textId="77777777">
        <w:trPr>
          <w:jc w:val="center"/>
        </w:trPr>
        <w:tc>
          <w:tcPr>
            <w:tcW w:w="1728" w:type="dxa"/>
            <w:tcMar>
              <w:top w:w="80" w:type="dxa"/>
              <w:left w:w="100" w:type="dxa"/>
              <w:bottom w:w="80" w:type="dxa"/>
              <w:right w:w="100" w:type="dxa"/>
            </w:tcMar>
            <w:vAlign w:val="center"/>
          </w:tcPr>
          <w:p w14:paraId="54F169E9" w14:textId="77777777" w:rsidR="00461A0F" w:rsidRDefault="00000000">
            <w:pPr>
              <w:jc w:val="center"/>
            </w:pPr>
            <w:r>
              <w:rPr>
                <w:sz w:val="19"/>
              </w:rPr>
              <w:t>ADP</w:t>
            </w:r>
          </w:p>
        </w:tc>
        <w:tc>
          <w:tcPr>
            <w:tcW w:w="8928" w:type="dxa"/>
            <w:tcMar>
              <w:top w:w="80" w:type="dxa"/>
              <w:left w:w="100" w:type="dxa"/>
              <w:bottom w:w="80" w:type="dxa"/>
              <w:right w:w="100" w:type="dxa"/>
            </w:tcMar>
            <w:vAlign w:val="center"/>
          </w:tcPr>
          <w:p w14:paraId="4C78FC24" w14:textId="77777777" w:rsidR="00461A0F" w:rsidRDefault="00000000">
            <w:r>
              <w:rPr>
                <w:sz w:val="19"/>
              </w:rPr>
              <w:t>Adaptive Differential Privacy</w:t>
            </w:r>
          </w:p>
        </w:tc>
      </w:tr>
      <w:tr w:rsidR="00461A0F" w14:paraId="34ED4BD0" w14:textId="77777777">
        <w:trPr>
          <w:jc w:val="center"/>
        </w:trPr>
        <w:tc>
          <w:tcPr>
            <w:tcW w:w="1728" w:type="dxa"/>
            <w:tcMar>
              <w:top w:w="80" w:type="dxa"/>
              <w:left w:w="100" w:type="dxa"/>
              <w:bottom w:w="80" w:type="dxa"/>
              <w:right w:w="100" w:type="dxa"/>
            </w:tcMar>
            <w:vAlign w:val="center"/>
          </w:tcPr>
          <w:p w14:paraId="07256A03" w14:textId="77777777" w:rsidR="00461A0F" w:rsidRDefault="00000000">
            <w:pPr>
              <w:jc w:val="center"/>
            </w:pPr>
            <w:r>
              <w:rPr>
                <w:sz w:val="19"/>
              </w:rPr>
              <w:t>DP</w:t>
            </w:r>
          </w:p>
        </w:tc>
        <w:tc>
          <w:tcPr>
            <w:tcW w:w="8928" w:type="dxa"/>
            <w:tcMar>
              <w:top w:w="80" w:type="dxa"/>
              <w:left w:w="100" w:type="dxa"/>
              <w:bottom w:w="80" w:type="dxa"/>
              <w:right w:w="100" w:type="dxa"/>
            </w:tcMar>
            <w:vAlign w:val="center"/>
          </w:tcPr>
          <w:p w14:paraId="4160AD83" w14:textId="77777777" w:rsidR="00461A0F" w:rsidRDefault="00000000">
            <w:r>
              <w:rPr>
                <w:sz w:val="19"/>
              </w:rPr>
              <w:t>Differential Privacy</w:t>
            </w:r>
          </w:p>
        </w:tc>
      </w:tr>
      <w:tr w:rsidR="00461A0F" w14:paraId="0C27CA6F" w14:textId="77777777">
        <w:trPr>
          <w:jc w:val="center"/>
        </w:trPr>
        <w:tc>
          <w:tcPr>
            <w:tcW w:w="1728" w:type="dxa"/>
            <w:tcMar>
              <w:top w:w="80" w:type="dxa"/>
              <w:left w:w="100" w:type="dxa"/>
              <w:bottom w:w="80" w:type="dxa"/>
              <w:right w:w="100" w:type="dxa"/>
            </w:tcMar>
            <w:vAlign w:val="center"/>
          </w:tcPr>
          <w:p w14:paraId="0E824082" w14:textId="77777777" w:rsidR="00461A0F" w:rsidRDefault="00000000">
            <w:pPr>
              <w:jc w:val="center"/>
            </w:pPr>
            <w:r>
              <w:rPr>
                <w:sz w:val="19"/>
              </w:rPr>
              <w:t>OOF</w:t>
            </w:r>
          </w:p>
        </w:tc>
        <w:tc>
          <w:tcPr>
            <w:tcW w:w="8928" w:type="dxa"/>
            <w:tcMar>
              <w:top w:w="80" w:type="dxa"/>
              <w:left w:w="100" w:type="dxa"/>
              <w:bottom w:w="80" w:type="dxa"/>
              <w:right w:w="100" w:type="dxa"/>
            </w:tcMar>
            <w:vAlign w:val="center"/>
          </w:tcPr>
          <w:p w14:paraId="35F17BD1" w14:textId="77777777" w:rsidR="00461A0F" w:rsidRDefault="00000000">
            <w:r>
              <w:rPr>
                <w:sz w:val="19"/>
              </w:rPr>
              <w:t>Out-of-fold cross-validated predictions used to avoid in-sample leakage when generating train+validation risk scores.</w:t>
            </w:r>
          </w:p>
        </w:tc>
      </w:tr>
      <w:tr w:rsidR="00461A0F" w14:paraId="666D554C" w14:textId="77777777">
        <w:trPr>
          <w:jc w:val="center"/>
        </w:trPr>
        <w:tc>
          <w:tcPr>
            <w:tcW w:w="1728" w:type="dxa"/>
            <w:tcMar>
              <w:top w:w="80" w:type="dxa"/>
              <w:left w:w="100" w:type="dxa"/>
              <w:bottom w:w="80" w:type="dxa"/>
              <w:right w:w="100" w:type="dxa"/>
            </w:tcMar>
            <w:vAlign w:val="center"/>
          </w:tcPr>
          <w:p w14:paraId="6D8DBF11" w14:textId="77777777" w:rsidR="00461A0F" w:rsidRDefault="00000000">
            <w:pPr>
              <w:jc w:val="center"/>
            </w:pPr>
            <w:r>
              <w:rPr>
                <w:sz w:val="19"/>
              </w:rPr>
              <w:t>CT F1</w:t>
            </w:r>
          </w:p>
        </w:tc>
        <w:tc>
          <w:tcPr>
            <w:tcW w:w="8928" w:type="dxa"/>
            <w:tcMar>
              <w:top w:w="80" w:type="dxa"/>
              <w:left w:w="100" w:type="dxa"/>
              <w:bottom w:w="80" w:type="dxa"/>
              <w:right w:w="100" w:type="dxa"/>
            </w:tcMar>
            <w:vAlign w:val="center"/>
          </w:tcPr>
          <w:p w14:paraId="71E7D899" w14:textId="77777777" w:rsidR="00461A0F" w:rsidRDefault="00000000">
            <w:r>
              <w:rPr>
                <w:sz w:val="19"/>
              </w:rPr>
              <w:t>Clean-trained typing F1: attacker trained on clean data, tested on ADP-noisy test data.</w:t>
            </w:r>
          </w:p>
        </w:tc>
      </w:tr>
      <w:tr w:rsidR="00461A0F" w14:paraId="3731BDCF" w14:textId="77777777">
        <w:trPr>
          <w:jc w:val="center"/>
        </w:trPr>
        <w:tc>
          <w:tcPr>
            <w:tcW w:w="1728" w:type="dxa"/>
            <w:tcMar>
              <w:top w:w="80" w:type="dxa"/>
              <w:left w:w="100" w:type="dxa"/>
              <w:bottom w:w="80" w:type="dxa"/>
              <w:right w:w="100" w:type="dxa"/>
            </w:tcMar>
            <w:vAlign w:val="center"/>
          </w:tcPr>
          <w:p w14:paraId="0B6E3E39" w14:textId="77777777" w:rsidR="00461A0F" w:rsidRDefault="00000000">
            <w:pPr>
              <w:jc w:val="center"/>
            </w:pPr>
            <w:r>
              <w:rPr>
                <w:sz w:val="19"/>
              </w:rPr>
              <w:t>AW F1</w:t>
            </w:r>
          </w:p>
        </w:tc>
        <w:tc>
          <w:tcPr>
            <w:tcW w:w="8928" w:type="dxa"/>
            <w:tcMar>
              <w:top w:w="80" w:type="dxa"/>
              <w:left w:w="100" w:type="dxa"/>
              <w:bottom w:w="80" w:type="dxa"/>
              <w:right w:w="100" w:type="dxa"/>
            </w:tcMar>
            <w:vAlign w:val="center"/>
          </w:tcPr>
          <w:p w14:paraId="1F55BC9E" w14:textId="77777777" w:rsidR="00461A0F" w:rsidRDefault="00000000">
            <w:r>
              <w:rPr>
                <w:sz w:val="19"/>
              </w:rPr>
              <w:t>Attacker-aware typing F1: attacker trained and tested under the same ADP setting.</w:t>
            </w:r>
          </w:p>
        </w:tc>
      </w:tr>
      <w:tr w:rsidR="00461A0F" w14:paraId="1F3369CD" w14:textId="77777777">
        <w:trPr>
          <w:jc w:val="center"/>
        </w:trPr>
        <w:tc>
          <w:tcPr>
            <w:tcW w:w="1728" w:type="dxa"/>
            <w:tcMar>
              <w:top w:w="80" w:type="dxa"/>
              <w:left w:w="100" w:type="dxa"/>
              <w:bottom w:w="80" w:type="dxa"/>
              <w:right w:w="100" w:type="dxa"/>
            </w:tcMar>
            <w:vAlign w:val="center"/>
          </w:tcPr>
          <w:p w14:paraId="0A4B81D3" w14:textId="77777777" w:rsidR="00461A0F" w:rsidRDefault="00000000">
            <w:pPr>
              <w:jc w:val="center"/>
            </w:pPr>
            <w:r>
              <w:rPr>
                <w:sz w:val="19"/>
              </w:rPr>
              <w:t>AW util.</w:t>
            </w:r>
          </w:p>
        </w:tc>
        <w:tc>
          <w:tcPr>
            <w:tcW w:w="8928" w:type="dxa"/>
            <w:tcMar>
              <w:top w:w="80" w:type="dxa"/>
              <w:left w:w="100" w:type="dxa"/>
              <w:bottom w:w="80" w:type="dxa"/>
              <w:right w:w="100" w:type="dxa"/>
            </w:tcMar>
            <w:vAlign w:val="center"/>
          </w:tcPr>
          <w:p w14:paraId="0DC0240B" w14:textId="77777777" w:rsidR="00461A0F" w:rsidRDefault="00000000">
            <w:r>
              <w:rPr>
                <w:sz w:val="19"/>
              </w:rPr>
              <w:t>Attacker-aware non-typing utility accuracy under the same ADP setting.</w:t>
            </w:r>
          </w:p>
        </w:tc>
      </w:tr>
      <w:tr w:rsidR="00461A0F" w14:paraId="64D48D07" w14:textId="77777777">
        <w:trPr>
          <w:jc w:val="center"/>
        </w:trPr>
        <w:tc>
          <w:tcPr>
            <w:tcW w:w="1728" w:type="dxa"/>
            <w:tcMar>
              <w:top w:w="80" w:type="dxa"/>
              <w:left w:w="100" w:type="dxa"/>
              <w:bottom w:w="80" w:type="dxa"/>
              <w:right w:w="100" w:type="dxa"/>
            </w:tcMar>
            <w:vAlign w:val="center"/>
          </w:tcPr>
          <w:p w14:paraId="126EB2F8" w14:textId="77777777" w:rsidR="00461A0F" w:rsidRDefault="00000000">
            <w:pPr>
              <w:jc w:val="center"/>
            </w:pPr>
            <w:r>
              <w:rPr>
                <w:sz w:val="19"/>
              </w:rPr>
              <w:t>ROC-AUC</w:t>
            </w:r>
          </w:p>
        </w:tc>
        <w:tc>
          <w:tcPr>
            <w:tcW w:w="8928" w:type="dxa"/>
            <w:tcMar>
              <w:top w:w="80" w:type="dxa"/>
              <w:left w:w="100" w:type="dxa"/>
              <w:bottom w:w="80" w:type="dxa"/>
              <w:right w:w="100" w:type="dxa"/>
            </w:tcMar>
            <w:vAlign w:val="center"/>
          </w:tcPr>
          <w:p w14:paraId="3BD4913C" w14:textId="77777777" w:rsidR="00461A0F" w:rsidRDefault="00000000">
            <w:r>
              <w:rPr>
                <w:sz w:val="19"/>
              </w:rPr>
              <w:t>Area under the receiver operating characteristic curve.</w:t>
            </w:r>
          </w:p>
        </w:tc>
      </w:tr>
      <w:tr w:rsidR="00461A0F" w14:paraId="3DAF417E" w14:textId="77777777">
        <w:trPr>
          <w:jc w:val="center"/>
        </w:trPr>
        <w:tc>
          <w:tcPr>
            <w:tcW w:w="1728" w:type="dxa"/>
            <w:tcMar>
              <w:top w:w="80" w:type="dxa"/>
              <w:left w:w="100" w:type="dxa"/>
              <w:bottom w:w="80" w:type="dxa"/>
              <w:right w:w="100" w:type="dxa"/>
            </w:tcMar>
            <w:vAlign w:val="center"/>
          </w:tcPr>
          <w:p w14:paraId="49332467" w14:textId="77777777" w:rsidR="00461A0F" w:rsidRDefault="00000000">
            <w:pPr>
              <w:jc w:val="center"/>
            </w:pPr>
            <w:r>
              <w:rPr>
                <w:sz w:val="19"/>
              </w:rPr>
              <w:t>EER</w:t>
            </w:r>
          </w:p>
        </w:tc>
        <w:tc>
          <w:tcPr>
            <w:tcW w:w="8928" w:type="dxa"/>
            <w:tcMar>
              <w:top w:w="80" w:type="dxa"/>
              <w:left w:w="100" w:type="dxa"/>
              <w:bottom w:w="80" w:type="dxa"/>
              <w:right w:w="100" w:type="dxa"/>
            </w:tcMar>
            <w:vAlign w:val="center"/>
          </w:tcPr>
          <w:p w14:paraId="4A085B9C" w14:textId="77777777" w:rsidR="00461A0F" w:rsidRDefault="00000000">
            <w:r>
              <w:rPr>
                <w:sz w:val="19"/>
              </w:rPr>
              <w:t>Equal Error Rate; lower is better for biometric separability.</w:t>
            </w:r>
          </w:p>
        </w:tc>
      </w:tr>
      <w:tr w:rsidR="00461A0F" w14:paraId="561B7D76" w14:textId="77777777">
        <w:trPr>
          <w:jc w:val="center"/>
        </w:trPr>
        <w:tc>
          <w:tcPr>
            <w:tcW w:w="1728" w:type="dxa"/>
            <w:tcMar>
              <w:top w:w="80" w:type="dxa"/>
              <w:left w:w="100" w:type="dxa"/>
              <w:bottom w:w="80" w:type="dxa"/>
              <w:right w:w="100" w:type="dxa"/>
            </w:tcMar>
            <w:vAlign w:val="center"/>
          </w:tcPr>
          <w:p w14:paraId="0770661A" w14:textId="77777777" w:rsidR="00461A0F" w:rsidRDefault="00000000">
            <w:pPr>
              <w:jc w:val="center"/>
            </w:pPr>
            <w:r>
              <w:rPr>
                <w:sz w:val="19"/>
              </w:rPr>
              <w:t>Top-1 / Top-5</w:t>
            </w:r>
          </w:p>
        </w:tc>
        <w:tc>
          <w:tcPr>
            <w:tcW w:w="8928" w:type="dxa"/>
            <w:tcMar>
              <w:top w:w="80" w:type="dxa"/>
              <w:left w:w="100" w:type="dxa"/>
              <w:bottom w:w="80" w:type="dxa"/>
              <w:right w:w="100" w:type="dxa"/>
            </w:tcMar>
            <w:vAlign w:val="center"/>
          </w:tcPr>
          <w:p w14:paraId="7E09B96D" w14:textId="77777777" w:rsidR="00461A0F" w:rsidRDefault="00000000">
            <w:r>
              <w:rPr>
                <w:sz w:val="19"/>
              </w:rPr>
              <w:t>Classification accuracy when the correct user appears in the highest-ranked prediction or within the top five predictions.</w:t>
            </w:r>
          </w:p>
        </w:tc>
      </w:tr>
    </w:tbl>
    <w:p w14:paraId="77A9033D" w14:textId="77777777" w:rsidR="00461A0F" w:rsidRDefault="00000000">
      <w:pPr>
        <w:spacing w:before="200" w:after="120"/>
      </w:pPr>
      <w:r>
        <w:rPr>
          <w:b/>
          <w:color w:val="203656"/>
          <w:sz w:val="30"/>
        </w:rPr>
        <w:t>4. Equations used in the paper</w:t>
      </w:r>
    </w:p>
    <w:p w14:paraId="29EE202A" w14:textId="77777777" w:rsidR="00461A0F" w:rsidRDefault="00000000">
      <w:pPr>
        <w:spacing w:before="40" w:after="20"/>
      </w:pPr>
      <w:r>
        <w:rPr>
          <w:b/>
        </w:rPr>
        <w:t>Adaptive budget mapping</w:t>
      </w:r>
    </w:p>
    <w:tbl>
      <w:tblPr>
        <w:tblStyle w:val="TableGrid"/>
        <w:tblW w:w="0" w:type="auto"/>
        <w:jc w:val="center"/>
        <w:tblBorders>
          <w:top w:val="single" w:sz="7" w:space="0" w:color="D9E1F2"/>
          <w:left w:val="single" w:sz="7" w:space="0" w:color="D9E1F2"/>
          <w:bottom w:val="single" w:sz="7" w:space="0" w:color="D9E1F2"/>
          <w:right w:val="single" w:sz="7" w:space="0" w:color="D9E1F2"/>
          <w:insideH w:val="single" w:sz="7" w:space="0" w:color="D9E1F2"/>
          <w:insideV w:val="single" w:sz="7" w:space="0" w:color="D9E1F2"/>
        </w:tblBorders>
        <w:tblLook w:val="04A0" w:firstRow="1" w:lastRow="0" w:firstColumn="1" w:lastColumn="0" w:noHBand="0" w:noVBand="1"/>
      </w:tblPr>
      <w:tblGrid>
        <w:gridCol w:w="9976"/>
      </w:tblGrid>
      <w:tr w:rsidR="00461A0F" w14:paraId="613FAB95" w14:textId="77777777">
        <w:trPr>
          <w:jc w:val="center"/>
        </w:trPr>
        <w:tc>
          <w:tcPr>
            <w:tcW w:w="9994" w:type="dxa"/>
            <w:shd w:val="clear" w:color="auto" w:fill="F7F9FC"/>
            <w:tcMar>
              <w:top w:w="120" w:type="dxa"/>
              <w:left w:w="130" w:type="dxa"/>
              <w:bottom w:w="120" w:type="dxa"/>
              <w:right w:w="130" w:type="dxa"/>
            </w:tcMar>
          </w:tcPr>
          <w:p w14:paraId="2F54BF67" w14:textId="77777777" w:rsidR="00461A0F" w:rsidRDefault="00000000">
            <w:pPr>
              <w:spacing w:line="276" w:lineRule="auto"/>
              <w:jc w:val="center"/>
            </w:pPr>
            <w:r>
              <w:rPr>
                <w:rFonts w:ascii="Courier New" w:hAnsi="Courier New"/>
              </w:rPr>
              <w:t>ε_i = ε_t + (ε_n - ε_t)(1 - r_i)</w:t>
            </w:r>
          </w:p>
        </w:tc>
      </w:tr>
    </w:tbl>
    <w:p w14:paraId="62A652CF" w14:textId="77777777" w:rsidR="00461A0F" w:rsidRDefault="00000000">
      <w:pPr>
        <w:spacing w:after="80"/>
      </w:pPr>
      <w:r>
        <w:t>Maps typing risk to the per-row budget. Higher typing risk pushes ε_i toward ε_t (more privacy noise). Lower risk pushes it toward ε_n.</w:t>
      </w:r>
    </w:p>
    <w:p w14:paraId="21C3CDAE" w14:textId="77777777" w:rsidR="00461A0F" w:rsidRDefault="00000000">
      <w:pPr>
        <w:spacing w:before="40" w:after="20"/>
      </w:pPr>
      <w:r>
        <w:rPr>
          <w:b/>
        </w:rPr>
        <w:t>Jittered budget</w:t>
      </w:r>
    </w:p>
    <w:tbl>
      <w:tblPr>
        <w:tblStyle w:val="TableGrid"/>
        <w:tblW w:w="0" w:type="auto"/>
        <w:jc w:val="center"/>
        <w:tblBorders>
          <w:top w:val="single" w:sz="7" w:space="0" w:color="D9E1F2"/>
          <w:left w:val="single" w:sz="7" w:space="0" w:color="D9E1F2"/>
          <w:bottom w:val="single" w:sz="7" w:space="0" w:color="D9E1F2"/>
          <w:right w:val="single" w:sz="7" w:space="0" w:color="D9E1F2"/>
          <w:insideH w:val="single" w:sz="7" w:space="0" w:color="D9E1F2"/>
          <w:insideV w:val="single" w:sz="7" w:space="0" w:color="D9E1F2"/>
        </w:tblBorders>
        <w:tblLook w:val="04A0" w:firstRow="1" w:lastRow="0" w:firstColumn="1" w:lastColumn="0" w:noHBand="0" w:noVBand="1"/>
      </w:tblPr>
      <w:tblGrid>
        <w:gridCol w:w="9976"/>
      </w:tblGrid>
      <w:tr w:rsidR="00461A0F" w14:paraId="4136EC43" w14:textId="77777777">
        <w:trPr>
          <w:jc w:val="center"/>
        </w:trPr>
        <w:tc>
          <w:tcPr>
            <w:tcW w:w="9994" w:type="dxa"/>
            <w:shd w:val="clear" w:color="auto" w:fill="F7F9FC"/>
            <w:tcMar>
              <w:top w:w="120" w:type="dxa"/>
              <w:left w:w="130" w:type="dxa"/>
              <w:bottom w:w="120" w:type="dxa"/>
              <w:right w:w="130" w:type="dxa"/>
            </w:tcMar>
          </w:tcPr>
          <w:p w14:paraId="6FB65710" w14:textId="77777777" w:rsidR="00461A0F" w:rsidRDefault="00000000">
            <w:pPr>
              <w:spacing w:line="276" w:lineRule="auto"/>
              <w:jc w:val="center"/>
            </w:pPr>
            <w:r>
              <w:rPr>
                <w:rFonts w:ascii="Courier New" w:hAnsi="Courier New"/>
              </w:rPr>
              <w:t>ε_i ← ε_i · (1 + u_i),   u_i ~ Uniform[-0.15, 0.15]</w:t>
            </w:r>
          </w:p>
        </w:tc>
      </w:tr>
    </w:tbl>
    <w:p w14:paraId="73128C18" w14:textId="77777777" w:rsidR="00461A0F" w:rsidRDefault="00000000">
      <w:pPr>
        <w:spacing w:after="80"/>
      </w:pPr>
      <w:r>
        <w:t>Adds bounded multiplicative randomness so the schedule is not perfectly deterministic.</w:t>
      </w:r>
    </w:p>
    <w:p w14:paraId="2995790B" w14:textId="77777777" w:rsidR="00461A0F" w:rsidRDefault="00000000">
      <w:pPr>
        <w:spacing w:before="40" w:after="20"/>
      </w:pPr>
      <w:r>
        <w:rPr>
          <w:b/>
        </w:rPr>
        <w:t>Budget clipping after jitter</w:t>
      </w:r>
    </w:p>
    <w:tbl>
      <w:tblPr>
        <w:tblStyle w:val="TableGrid"/>
        <w:tblW w:w="0" w:type="auto"/>
        <w:jc w:val="center"/>
        <w:tblBorders>
          <w:top w:val="single" w:sz="7" w:space="0" w:color="D9E1F2"/>
          <w:left w:val="single" w:sz="7" w:space="0" w:color="D9E1F2"/>
          <w:bottom w:val="single" w:sz="7" w:space="0" w:color="D9E1F2"/>
          <w:right w:val="single" w:sz="7" w:space="0" w:color="D9E1F2"/>
          <w:insideH w:val="single" w:sz="7" w:space="0" w:color="D9E1F2"/>
          <w:insideV w:val="single" w:sz="7" w:space="0" w:color="D9E1F2"/>
        </w:tblBorders>
        <w:tblLook w:val="04A0" w:firstRow="1" w:lastRow="0" w:firstColumn="1" w:lastColumn="0" w:noHBand="0" w:noVBand="1"/>
      </w:tblPr>
      <w:tblGrid>
        <w:gridCol w:w="9976"/>
      </w:tblGrid>
      <w:tr w:rsidR="00461A0F" w14:paraId="5CBA15E6" w14:textId="77777777">
        <w:trPr>
          <w:jc w:val="center"/>
        </w:trPr>
        <w:tc>
          <w:tcPr>
            <w:tcW w:w="9994" w:type="dxa"/>
            <w:shd w:val="clear" w:color="auto" w:fill="F7F9FC"/>
            <w:tcMar>
              <w:top w:w="120" w:type="dxa"/>
              <w:left w:w="130" w:type="dxa"/>
              <w:bottom w:w="120" w:type="dxa"/>
              <w:right w:w="130" w:type="dxa"/>
            </w:tcMar>
          </w:tcPr>
          <w:p w14:paraId="66516C71" w14:textId="77777777" w:rsidR="00461A0F" w:rsidRDefault="00000000">
            <w:pPr>
              <w:spacing w:line="276" w:lineRule="auto"/>
              <w:jc w:val="center"/>
            </w:pPr>
            <w:r>
              <w:rPr>
                <w:rFonts w:ascii="Courier New" w:hAnsi="Courier New"/>
              </w:rPr>
              <w:t>ε_i is clipped to [min(ε_t, ε_n), max(ε_t, ε_n)]</w:t>
            </w:r>
          </w:p>
        </w:tc>
      </w:tr>
    </w:tbl>
    <w:p w14:paraId="69E6F324" w14:textId="77777777" w:rsidR="00461A0F" w:rsidRDefault="00000000">
      <w:pPr>
        <w:spacing w:after="80"/>
      </w:pPr>
      <w:r>
        <w:t>Keeps the realized budget inside the allowed typing/non-typing range.</w:t>
      </w:r>
    </w:p>
    <w:p w14:paraId="5C0A9D12" w14:textId="77777777" w:rsidR="00461A0F" w:rsidRDefault="00000000">
      <w:pPr>
        <w:spacing w:before="40" w:after="20"/>
      </w:pPr>
      <w:r>
        <w:rPr>
          <w:b/>
        </w:rPr>
        <w:t>Feature-wise Laplace scale</w:t>
      </w:r>
    </w:p>
    <w:tbl>
      <w:tblPr>
        <w:tblStyle w:val="TableGrid"/>
        <w:tblW w:w="0" w:type="auto"/>
        <w:jc w:val="center"/>
        <w:tblBorders>
          <w:top w:val="single" w:sz="7" w:space="0" w:color="D9E1F2"/>
          <w:left w:val="single" w:sz="7" w:space="0" w:color="D9E1F2"/>
          <w:bottom w:val="single" w:sz="7" w:space="0" w:color="D9E1F2"/>
          <w:right w:val="single" w:sz="7" w:space="0" w:color="D9E1F2"/>
          <w:insideH w:val="single" w:sz="7" w:space="0" w:color="D9E1F2"/>
          <w:insideV w:val="single" w:sz="7" w:space="0" w:color="D9E1F2"/>
        </w:tblBorders>
        <w:tblLook w:val="04A0" w:firstRow="1" w:lastRow="0" w:firstColumn="1" w:lastColumn="0" w:noHBand="0" w:noVBand="1"/>
      </w:tblPr>
      <w:tblGrid>
        <w:gridCol w:w="9976"/>
      </w:tblGrid>
      <w:tr w:rsidR="00461A0F" w14:paraId="7B490199" w14:textId="77777777">
        <w:trPr>
          <w:jc w:val="center"/>
        </w:trPr>
        <w:tc>
          <w:tcPr>
            <w:tcW w:w="9994" w:type="dxa"/>
            <w:shd w:val="clear" w:color="auto" w:fill="F7F9FC"/>
            <w:tcMar>
              <w:top w:w="120" w:type="dxa"/>
              <w:left w:w="130" w:type="dxa"/>
              <w:bottom w:w="120" w:type="dxa"/>
              <w:right w:w="130" w:type="dxa"/>
            </w:tcMar>
          </w:tcPr>
          <w:p w14:paraId="1E389215" w14:textId="77777777" w:rsidR="00461A0F" w:rsidRDefault="00000000">
            <w:pPr>
              <w:spacing w:line="276" w:lineRule="auto"/>
              <w:jc w:val="center"/>
            </w:pPr>
            <w:r>
              <w:rPr>
                <w:rFonts w:ascii="Courier New" w:hAnsi="Courier New"/>
              </w:rPr>
              <w:t>b_ij = (U_j - L_j) / ε_i</w:t>
            </w:r>
          </w:p>
        </w:tc>
      </w:tr>
    </w:tbl>
    <w:p w14:paraId="3ACF3FD8" w14:textId="77777777" w:rsidR="00461A0F" w:rsidRDefault="00000000">
      <w:pPr>
        <w:spacing w:after="80"/>
      </w:pPr>
      <w:r>
        <w:lastRenderedPageBreak/>
        <w:t>Determines the Laplace scale for feature j of row i after clipping.</w:t>
      </w:r>
    </w:p>
    <w:p w14:paraId="3BD125A6" w14:textId="77777777" w:rsidR="00461A0F" w:rsidRDefault="00000000">
      <w:pPr>
        <w:spacing w:before="40" w:after="20"/>
      </w:pPr>
      <w:r>
        <w:rPr>
          <w:b/>
        </w:rPr>
        <w:t>Sequential composition for one row</w:t>
      </w:r>
    </w:p>
    <w:tbl>
      <w:tblPr>
        <w:tblStyle w:val="TableGrid"/>
        <w:tblW w:w="0" w:type="auto"/>
        <w:jc w:val="center"/>
        <w:tblBorders>
          <w:top w:val="single" w:sz="7" w:space="0" w:color="D9E1F2"/>
          <w:left w:val="single" w:sz="7" w:space="0" w:color="D9E1F2"/>
          <w:bottom w:val="single" w:sz="7" w:space="0" w:color="D9E1F2"/>
          <w:right w:val="single" w:sz="7" w:space="0" w:color="D9E1F2"/>
          <w:insideH w:val="single" w:sz="7" w:space="0" w:color="D9E1F2"/>
          <w:insideV w:val="single" w:sz="7" w:space="0" w:color="D9E1F2"/>
        </w:tblBorders>
        <w:tblLook w:val="04A0" w:firstRow="1" w:lastRow="0" w:firstColumn="1" w:lastColumn="0" w:noHBand="0" w:noVBand="1"/>
      </w:tblPr>
      <w:tblGrid>
        <w:gridCol w:w="9976"/>
      </w:tblGrid>
      <w:tr w:rsidR="00461A0F" w14:paraId="0B1265D1" w14:textId="77777777">
        <w:trPr>
          <w:jc w:val="center"/>
        </w:trPr>
        <w:tc>
          <w:tcPr>
            <w:tcW w:w="9994" w:type="dxa"/>
            <w:shd w:val="clear" w:color="auto" w:fill="F7F9FC"/>
            <w:tcMar>
              <w:top w:w="120" w:type="dxa"/>
              <w:left w:w="130" w:type="dxa"/>
              <w:bottom w:w="120" w:type="dxa"/>
              <w:right w:w="130" w:type="dxa"/>
            </w:tcMar>
          </w:tcPr>
          <w:p w14:paraId="619E2586" w14:textId="77777777" w:rsidR="00461A0F" w:rsidRDefault="00000000">
            <w:pPr>
              <w:spacing w:line="276" w:lineRule="auto"/>
              <w:jc w:val="center"/>
            </w:pPr>
            <w:r>
              <w:rPr>
                <w:rFonts w:ascii="Courier New" w:hAnsi="Courier New"/>
              </w:rPr>
              <w:t>ε_row,i = d · ε_i</w:t>
            </w:r>
          </w:p>
        </w:tc>
      </w:tr>
    </w:tbl>
    <w:p w14:paraId="5BD8B820" w14:textId="77777777" w:rsidR="00461A0F" w:rsidRDefault="00000000">
      <w:pPr>
        <w:spacing w:after="80"/>
      </w:pPr>
      <w:r>
        <w:t>Total row-level privacy cost when releasing d features for row i.</w:t>
      </w:r>
    </w:p>
    <w:p w14:paraId="241C7C1E" w14:textId="77777777" w:rsidR="00461A0F" w:rsidRDefault="00000000">
      <w:pPr>
        <w:spacing w:before="40" w:after="20"/>
      </w:pPr>
      <w:r>
        <w:rPr>
          <w:b/>
        </w:rPr>
        <w:t>Fixed-DP row composition</w:t>
      </w:r>
    </w:p>
    <w:tbl>
      <w:tblPr>
        <w:tblStyle w:val="TableGrid"/>
        <w:tblW w:w="0" w:type="auto"/>
        <w:jc w:val="center"/>
        <w:tblBorders>
          <w:top w:val="single" w:sz="7" w:space="0" w:color="D9E1F2"/>
          <w:left w:val="single" w:sz="7" w:space="0" w:color="D9E1F2"/>
          <w:bottom w:val="single" w:sz="7" w:space="0" w:color="D9E1F2"/>
          <w:right w:val="single" w:sz="7" w:space="0" w:color="D9E1F2"/>
          <w:insideH w:val="single" w:sz="7" w:space="0" w:color="D9E1F2"/>
          <w:insideV w:val="single" w:sz="7" w:space="0" w:color="D9E1F2"/>
        </w:tblBorders>
        <w:tblLook w:val="04A0" w:firstRow="1" w:lastRow="0" w:firstColumn="1" w:lastColumn="0" w:noHBand="0" w:noVBand="1"/>
      </w:tblPr>
      <w:tblGrid>
        <w:gridCol w:w="9976"/>
      </w:tblGrid>
      <w:tr w:rsidR="00461A0F" w14:paraId="66A97846" w14:textId="77777777">
        <w:trPr>
          <w:jc w:val="center"/>
        </w:trPr>
        <w:tc>
          <w:tcPr>
            <w:tcW w:w="9994" w:type="dxa"/>
            <w:shd w:val="clear" w:color="auto" w:fill="F7F9FC"/>
            <w:tcMar>
              <w:top w:w="120" w:type="dxa"/>
              <w:left w:w="130" w:type="dxa"/>
              <w:bottom w:w="120" w:type="dxa"/>
              <w:right w:w="130" w:type="dxa"/>
            </w:tcMar>
          </w:tcPr>
          <w:p w14:paraId="73D2523A" w14:textId="77777777" w:rsidR="00461A0F" w:rsidRDefault="00000000">
            <w:pPr>
              <w:spacing w:line="276" w:lineRule="auto"/>
              <w:jc w:val="center"/>
            </w:pPr>
            <w:r>
              <w:rPr>
                <w:rFonts w:ascii="Courier New" w:hAnsi="Courier New"/>
              </w:rPr>
              <w:t>ε_row = d · ε_f</w:t>
            </w:r>
          </w:p>
        </w:tc>
      </w:tr>
    </w:tbl>
    <w:p w14:paraId="0E78035A" w14:textId="77777777" w:rsidR="00461A0F" w:rsidRDefault="00000000">
      <w:pPr>
        <w:spacing w:after="80"/>
      </w:pPr>
      <w:r>
        <w:t>Used in the Keystroke100 benchmark where the budget is fixed rather than adaptive.</w:t>
      </w:r>
    </w:p>
    <w:p w14:paraId="2D255915" w14:textId="77777777" w:rsidR="00461A0F" w:rsidRDefault="00000000">
      <w:pPr>
        <w:spacing w:before="200" w:after="120"/>
      </w:pPr>
      <w:r>
        <w:rPr>
          <w:b/>
          <w:color w:val="203656"/>
          <w:sz w:val="30"/>
        </w:rPr>
        <w:t>5. Constants, settings, and experimental values</w:t>
      </w:r>
    </w:p>
    <w:tbl>
      <w:tblPr>
        <w:tblStyle w:val="TableGrid"/>
        <w:tblW w:w="0" w:type="auto"/>
        <w:jc w:val="center"/>
        <w:tblBorders>
          <w:top w:val="single" w:sz="7" w:space="0" w:color="D6DDE8"/>
          <w:left w:val="single" w:sz="7" w:space="0" w:color="D6DDE8"/>
          <w:bottom w:val="single" w:sz="7" w:space="0" w:color="D6DDE8"/>
          <w:right w:val="single" w:sz="7" w:space="0" w:color="D6DDE8"/>
          <w:insideH w:val="single" w:sz="7" w:space="0" w:color="D6DDE8"/>
          <w:insideV w:val="single" w:sz="7" w:space="0" w:color="D6DDE8"/>
        </w:tblBorders>
        <w:tblLook w:val="04A0" w:firstRow="1" w:lastRow="0" w:firstColumn="1" w:lastColumn="0" w:noHBand="0" w:noVBand="1"/>
      </w:tblPr>
      <w:tblGrid>
        <w:gridCol w:w="3008"/>
        <w:gridCol w:w="6968"/>
      </w:tblGrid>
      <w:tr w:rsidR="00461A0F" w14:paraId="2504DFEC" w14:textId="77777777">
        <w:trPr>
          <w:tblHeader/>
          <w:jc w:val="center"/>
        </w:trPr>
        <w:tc>
          <w:tcPr>
            <w:tcW w:w="3168" w:type="dxa"/>
            <w:shd w:val="clear" w:color="auto" w:fill="FBE5D6"/>
            <w:tcMar>
              <w:top w:w="90" w:type="dxa"/>
              <w:left w:w="110" w:type="dxa"/>
              <w:bottom w:w="90" w:type="dxa"/>
              <w:right w:w="110" w:type="dxa"/>
            </w:tcMar>
            <w:vAlign w:val="center"/>
          </w:tcPr>
          <w:p w14:paraId="0CD735C0" w14:textId="77777777" w:rsidR="00461A0F" w:rsidRDefault="00000000">
            <w:pPr>
              <w:jc w:val="center"/>
            </w:pPr>
            <w:r>
              <w:rPr>
                <w:b/>
                <w:sz w:val="20"/>
              </w:rPr>
              <w:t>Item</w:t>
            </w:r>
          </w:p>
        </w:tc>
        <w:tc>
          <w:tcPr>
            <w:tcW w:w="7488" w:type="dxa"/>
            <w:shd w:val="clear" w:color="auto" w:fill="FBE5D6"/>
            <w:tcMar>
              <w:top w:w="90" w:type="dxa"/>
              <w:left w:w="110" w:type="dxa"/>
              <w:bottom w:w="90" w:type="dxa"/>
              <w:right w:w="110" w:type="dxa"/>
            </w:tcMar>
            <w:vAlign w:val="center"/>
          </w:tcPr>
          <w:p w14:paraId="3735C64A" w14:textId="77777777" w:rsidR="00461A0F" w:rsidRDefault="00000000">
            <w:pPr>
              <w:jc w:val="center"/>
            </w:pPr>
            <w:r>
              <w:rPr>
                <w:b/>
                <w:sz w:val="20"/>
              </w:rPr>
              <w:t>Value / role</w:t>
            </w:r>
          </w:p>
        </w:tc>
      </w:tr>
      <w:tr w:rsidR="00461A0F" w14:paraId="50862075" w14:textId="77777777">
        <w:trPr>
          <w:jc w:val="center"/>
        </w:trPr>
        <w:tc>
          <w:tcPr>
            <w:tcW w:w="3168" w:type="dxa"/>
            <w:tcMar>
              <w:top w:w="80" w:type="dxa"/>
              <w:left w:w="100" w:type="dxa"/>
              <w:bottom w:w="80" w:type="dxa"/>
              <w:right w:w="100" w:type="dxa"/>
            </w:tcMar>
            <w:vAlign w:val="center"/>
          </w:tcPr>
          <w:p w14:paraId="470F2ECF" w14:textId="77777777" w:rsidR="00461A0F" w:rsidRDefault="00000000">
            <w:r>
              <w:rPr>
                <w:sz w:val="19"/>
              </w:rPr>
              <w:t>WISDM feature count</w:t>
            </w:r>
          </w:p>
        </w:tc>
        <w:tc>
          <w:tcPr>
            <w:tcW w:w="7488" w:type="dxa"/>
            <w:tcMar>
              <w:top w:w="80" w:type="dxa"/>
              <w:left w:w="100" w:type="dxa"/>
              <w:bottom w:w="80" w:type="dxa"/>
              <w:right w:w="100" w:type="dxa"/>
            </w:tcMar>
            <w:vAlign w:val="center"/>
          </w:tcPr>
          <w:p w14:paraId="2C839F61" w14:textId="77777777" w:rsidR="00461A0F" w:rsidRDefault="00000000">
            <w:r>
              <w:rPr>
                <w:sz w:val="19"/>
              </w:rPr>
              <w:t>182 numeric features after merging watch accelerometer and gyroscope windows and removing metadata.</w:t>
            </w:r>
          </w:p>
        </w:tc>
      </w:tr>
      <w:tr w:rsidR="00461A0F" w14:paraId="11AC1AC9" w14:textId="77777777">
        <w:trPr>
          <w:jc w:val="center"/>
        </w:trPr>
        <w:tc>
          <w:tcPr>
            <w:tcW w:w="3168" w:type="dxa"/>
            <w:tcMar>
              <w:top w:w="80" w:type="dxa"/>
              <w:left w:w="100" w:type="dxa"/>
              <w:bottom w:w="80" w:type="dxa"/>
              <w:right w:w="100" w:type="dxa"/>
            </w:tcMar>
            <w:vAlign w:val="center"/>
          </w:tcPr>
          <w:p w14:paraId="449808A3" w14:textId="77777777" w:rsidR="00461A0F" w:rsidRDefault="00000000">
            <w:r>
              <w:rPr>
                <w:sz w:val="19"/>
              </w:rPr>
              <w:t>Keystroke100 feature count</w:t>
            </w:r>
          </w:p>
        </w:tc>
        <w:tc>
          <w:tcPr>
            <w:tcW w:w="7488" w:type="dxa"/>
            <w:tcMar>
              <w:top w:w="80" w:type="dxa"/>
              <w:left w:w="100" w:type="dxa"/>
              <w:bottom w:w="80" w:type="dxa"/>
              <w:right w:w="100" w:type="dxa"/>
            </w:tcMar>
            <w:vAlign w:val="center"/>
          </w:tcPr>
          <w:p w14:paraId="179030C8" w14:textId="77777777" w:rsidR="00461A0F" w:rsidRDefault="00000000">
            <w:r>
              <w:rPr>
                <w:sz w:val="19"/>
              </w:rPr>
              <w:t>13 tabular features: 7 latency features plus 6 pressure-summary features.</w:t>
            </w:r>
          </w:p>
        </w:tc>
      </w:tr>
      <w:tr w:rsidR="00461A0F" w14:paraId="312CB49E" w14:textId="77777777">
        <w:trPr>
          <w:jc w:val="center"/>
        </w:trPr>
        <w:tc>
          <w:tcPr>
            <w:tcW w:w="3168" w:type="dxa"/>
            <w:tcMar>
              <w:top w:w="80" w:type="dxa"/>
              <w:left w:w="100" w:type="dxa"/>
              <w:bottom w:w="80" w:type="dxa"/>
              <w:right w:w="100" w:type="dxa"/>
            </w:tcMar>
            <w:vAlign w:val="center"/>
          </w:tcPr>
          <w:p w14:paraId="128C585B" w14:textId="77777777" w:rsidR="00461A0F" w:rsidRDefault="00000000">
            <w:r>
              <w:rPr>
                <w:sz w:val="19"/>
              </w:rPr>
              <w:t>WISDM split</w:t>
            </w:r>
          </w:p>
        </w:tc>
        <w:tc>
          <w:tcPr>
            <w:tcW w:w="7488" w:type="dxa"/>
            <w:tcMar>
              <w:top w:w="80" w:type="dxa"/>
              <w:left w:w="100" w:type="dxa"/>
              <w:bottom w:w="80" w:type="dxa"/>
              <w:right w:w="100" w:type="dxa"/>
            </w:tcMar>
            <w:vAlign w:val="center"/>
          </w:tcPr>
          <w:p w14:paraId="2D264B8A" w14:textId="77777777" w:rsidR="00461A0F" w:rsidRDefault="00000000">
            <w:r>
              <w:rPr>
                <w:sz w:val="19"/>
              </w:rPr>
              <w:t>70% / 15% / 15% subject-disjoint train / validation / test split.</w:t>
            </w:r>
          </w:p>
        </w:tc>
      </w:tr>
      <w:tr w:rsidR="00461A0F" w14:paraId="4AB1E4C9" w14:textId="77777777">
        <w:trPr>
          <w:jc w:val="center"/>
        </w:trPr>
        <w:tc>
          <w:tcPr>
            <w:tcW w:w="3168" w:type="dxa"/>
            <w:tcMar>
              <w:top w:w="80" w:type="dxa"/>
              <w:left w:w="100" w:type="dxa"/>
              <w:bottom w:w="80" w:type="dxa"/>
              <w:right w:w="100" w:type="dxa"/>
            </w:tcMar>
            <w:vAlign w:val="center"/>
          </w:tcPr>
          <w:p w14:paraId="1B19CFD1" w14:textId="77777777" w:rsidR="00461A0F" w:rsidRDefault="00000000">
            <w:r>
              <w:rPr>
                <w:sz w:val="19"/>
              </w:rPr>
              <w:t>Keystroke100 split</w:t>
            </w:r>
          </w:p>
        </w:tc>
        <w:tc>
          <w:tcPr>
            <w:tcW w:w="7488" w:type="dxa"/>
            <w:tcMar>
              <w:top w:w="80" w:type="dxa"/>
              <w:left w:w="100" w:type="dxa"/>
              <w:bottom w:w="80" w:type="dxa"/>
              <w:right w:w="100" w:type="dxa"/>
            </w:tcMar>
            <w:vAlign w:val="center"/>
          </w:tcPr>
          <w:p w14:paraId="4846442A" w14:textId="77777777" w:rsidR="00461A0F" w:rsidRDefault="00000000">
            <w:r>
              <w:rPr>
                <w:sz w:val="19"/>
              </w:rPr>
              <w:t>70% / 15% / 15% stratified train / validation / test split by user label.</w:t>
            </w:r>
          </w:p>
        </w:tc>
      </w:tr>
      <w:tr w:rsidR="00461A0F" w14:paraId="5B5DE0B8" w14:textId="77777777">
        <w:trPr>
          <w:jc w:val="center"/>
        </w:trPr>
        <w:tc>
          <w:tcPr>
            <w:tcW w:w="3168" w:type="dxa"/>
            <w:tcMar>
              <w:top w:w="80" w:type="dxa"/>
              <w:left w:w="100" w:type="dxa"/>
              <w:bottom w:w="80" w:type="dxa"/>
              <w:right w:w="100" w:type="dxa"/>
            </w:tcMar>
            <w:vAlign w:val="center"/>
          </w:tcPr>
          <w:p w14:paraId="25A2D195" w14:textId="77777777" w:rsidR="00461A0F" w:rsidRDefault="00000000">
            <w:r>
              <w:rPr>
                <w:sz w:val="19"/>
              </w:rPr>
              <w:t>ε_t sweep</w:t>
            </w:r>
          </w:p>
        </w:tc>
        <w:tc>
          <w:tcPr>
            <w:tcW w:w="7488" w:type="dxa"/>
            <w:tcMar>
              <w:top w:w="80" w:type="dxa"/>
              <w:left w:w="100" w:type="dxa"/>
              <w:bottom w:w="80" w:type="dxa"/>
              <w:right w:w="100" w:type="dxa"/>
            </w:tcMar>
            <w:vAlign w:val="center"/>
          </w:tcPr>
          <w:p w14:paraId="724EFD72" w14:textId="77777777" w:rsidR="00461A0F" w:rsidRDefault="00000000">
            <w:r>
              <w:rPr>
                <w:sz w:val="19"/>
              </w:rPr>
              <w:t>{0.05, 0.10, 0.20, 0.50, 1.00}</w:t>
            </w:r>
          </w:p>
        </w:tc>
      </w:tr>
      <w:tr w:rsidR="00461A0F" w14:paraId="2E37A3C9" w14:textId="77777777">
        <w:trPr>
          <w:jc w:val="center"/>
        </w:trPr>
        <w:tc>
          <w:tcPr>
            <w:tcW w:w="3168" w:type="dxa"/>
            <w:tcMar>
              <w:top w:w="80" w:type="dxa"/>
              <w:left w:w="100" w:type="dxa"/>
              <w:bottom w:w="80" w:type="dxa"/>
              <w:right w:w="100" w:type="dxa"/>
            </w:tcMar>
            <w:vAlign w:val="center"/>
          </w:tcPr>
          <w:p w14:paraId="3B82D8AC" w14:textId="77777777" w:rsidR="00461A0F" w:rsidRDefault="00000000">
            <w:r>
              <w:rPr>
                <w:sz w:val="19"/>
              </w:rPr>
              <w:t>ε_n</w:t>
            </w:r>
          </w:p>
        </w:tc>
        <w:tc>
          <w:tcPr>
            <w:tcW w:w="7488" w:type="dxa"/>
            <w:tcMar>
              <w:top w:w="80" w:type="dxa"/>
              <w:left w:w="100" w:type="dxa"/>
              <w:bottom w:w="80" w:type="dxa"/>
              <w:right w:w="100" w:type="dxa"/>
            </w:tcMar>
            <w:vAlign w:val="center"/>
          </w:tcPr>
          <w:p w14:paraId="25BF128E" w14:textId="77777777" w:rsidR="00461A0F" w:rsidRDefault="00000000">
            <w:r>
              <w:rPr>
                <w:sz w:val="19"/>
              </w:rPr>
              <w:t>2.0</w:t>
            </w:r>
          </w:p>
        </w:tc>
      </w:tr>
      <w:tr w:rsidR="00461A0F" w14:paraId="519FC80C" w14:textId="77777777">
        <w:trPr>
          <w:jc w:val="center"/>
        </w:trPr>
        <w:tc>
          <w:tcPr>
            <w:tcW w:w="3168" w:type="dxa"/>
            <w:tcMar>
              <w:top w:w="80" w:type="dxa"/>
              <w:left w:w="100" w:type="dxa"/>
              <w:bottom w:w="80" w:type="dxa"/>
              <w:right w:w="100" w:type="dxa"/>
            </w:tcMar>
            <w:vAlign w:val="center"/>
          </w:tcPr>
          <w:p w14:paraId="27931376" w14:textId="77777777" w:rsidR="00461A0F" w:rsidRDefault="00000000">
            <w:r>
              <w:rPr>
                <w:sz w:val="19"/>
              </w:rPr>
              <w:t>τ</w:t>
            </w:r>
          </w:p>
        </w:tc>
        <w:tc>
          <w:tcPr>
            <w:tcW w:w="7488" w:type="dxa"/>
            <w:tcMar>
              <w:top w:w="80" w:type="dxa"/>
              <w:left w:w="100" w:type="dxa"/>
              <w:bottom w:w="80" w:type="dxa"/>
              <w:right w:w="100" w:type="dxa"/>
            </w:tcMar>
            <w:vAlign w:val="center"/>
          </w:tcPr>
          <w:p w14:paraId="505E6D9C" w14:textId="77777777" w:rsidR="00461A0F" w:rsidRDefault="00000000">
            <w:r>
              <w:rPr>
                <w:sz w:val="19"/>
              </w:rPr>
              <w:t>0.60</w:t>
            </w:r>
          </w:p>
        </w:tc>
      </w:tr>
      <w:tr w:rsidR="00461A0F" w14:paraId="4BE7C623" w14:textId="77777777">
        <w:trPr>
          <w:jc w:val="center"/>
        </w:trPr>
        <w:tc>
          <w:tcPr>
            <w:tcW w:w="3168" w:type="dxa"/>
            <w:tcMar>
              <w:top w:w="80" w:type="dxa"/>
              <w:left w:w="100" w:type="dxa"/>
              <w:bottom w:w="80" w:type="dxa"/>
              <w:right w:w="100" w:type="dxa"/>
            </w:tcMar>
            <w:vAlign w:val="center"/>
          </w:tcPr>
          <w:p w14:paraId="79CA4E0C" w14:textId="77777777" w:rsidR="00461A0F" w:rsidRDefault="00000000">
            <w:r>
              <w:rPr>
                <w:sz w:val="19"/>
              </w:rPr>
              <w:t>Jitter fraction</w:t>
            </w:r>
          </w:p>
        </w:tc>
        <w:tc>
          <w:tcPr>
            <w:tcW w:w="7488" w:type="dxa"/>
            <w:tcMar>
              <w:top w:w="80" w:type="dxa"/>
              <w:left w:w="100" w:type="dxa"/>
              <w:bottom w:w="80" w:type="dxa"/>
              <w:right w:w="100" w:type="dxa"/>
            </w:tcMar>
            <w:vAlign w:val="center"/>
          </w:tcPr>
          <w:p w14:paraId="61210C75" w14:textId="77777777" w:rsidR="00461A0F" w:rsidRDefault="00000000">
            <w:r>
              <w:rPr>
                <w:sz w:val="19"/>
              </w:rPr>
              <w:t>0.15</w:t>
            </w:r>
          </w:p>
        </w:tc>
      </w:tr>
      <w:tr w:rsidR="00461A0F" w14:paraId="37F14868" w14:textId="77777777">
        <w:trPr>
          <w:jc w:val="center"/>
        </w:trPr>
        <w:tc>
          <w:tcPr>
            <w:tcW w:w="3168" w:type="dxa"/>
            <w:tcMar>
              <w:top w:w="80" w:type="dxa"/>
              <w:left w:w="100" w:type="dxa"/>
              <w:bottom w:w="80" w:type="dxa"/>
              <w:right w:w="100" w:type="dxa"/>
            </w:tcMar>
            <w:vAlign w:val="center"/>
          </w:tcPr>
          <w:p w14:paraId="15A8FA32" w14:textId="77777777" w:rsidR="00461A0F" w:rsidRDefault="00000000">
            <w:r>
              <w:rPr>
                <w:sz w:val="19"/>
              </w:rPr>
              <w:t>OOF folds</w:t>
            </w:r>
          </w:p>
        </w:tc>
        <w:tc>
          <w:tcPr>
            <w:tcW w:w="7488" w:type="dxa"/>
            <w:tcMar>
              <w:top w:w="80" w:type="dxa"/>
              <w:left w:w="100" w:type="dxa"/>
              <w:bottom w:w="80" w:type="dxa"/>
              <w:right w:w="100" w:type="dxa"/>
            </w:tcMar>
            <w:vAlign w:val="center"/>
          </w:tcPr>
          <w:p w14:paraId="0E92FC9A" w14:textId="77777777" w:rsidR="00461A0F" w:rsidRDefault="00000000">
            <w:r>
              <w:rPr>
                <w:sz w:val="19"/>
              </w:rPr>
              <w:t>5-fold cross-validation for train+validation risk scores.</w:t>
            </w:r>
          </w:p>
        </w:tc>
      </w:tr>
    </w:tbl>
    <w:p w14:paraId="3E739AEB" w14:textId="77777777" w:rsidR="00461A0F" w:rsidRDefault="00000000">
      <w:pPr>
        <w:spacing w:before="200" w:after="120"/>
      </w:pPr>
      <w:r>
        <w:rPr>
          <w:b/>
          <w:color w:val="203656"/>
          <w:sz w:val="30"/>
        </w:rPr>
        <w:t>6. Key results referenced throughout the paper</w:t>
      </w:r>
    </w:p>
    <w:p w14:paraId="740AFABE" w14:textId="77777777" w:rsidR="00461A0F" w:rsidRDefault="00000000">
      <w:pPr>
        <w:spacing w:after="60"/>
      </w:pPr>
      <w:r>
        <w:rPr>
          <w:b/>
        </w:rPr>
        <w:t xml:space="preserve">WISDM Stage-1 baseline: </w:t>
      </w:r>
      <w:r>
        <w:t>Random Forest chosen on validation F1 = 0.839; final test metrics were accuracy 0.960, precision 0.970, recall 0.659, F1 0.785, ROC-AUC 0.960.</w:t>
      </w:r>
    </w:p>
    <w:p w14:paraId="64422EE7" w14:textId="77777777" w:rsidR="00461A0F" w:rsidRDefault="00000000">
      <w:pPr>
        <w:spacing w:after="60"/>
      </w:pPr>
      <w:r>
        <w:rPr>
          <w:b/>
        </w:rPr>
        <w:t xml:space="preserve">Keystroke100 Stage-1 baseline: </w:t>
      </w:r>
      <w:r>
        <w:t>Random Forest reached validation top-1 = 0.940 and final test top-1 = 0.947, top-5 = 1.000, weighted F1 = 0.943, mean EER = 0.0002.</w:t>
      </w:r>
    </w:p>
    <w:p w14:paraId="5A0E32B3" w14:textId="77777777" w:rsidR="00461A0F" w:rsidRDefault="00000000">
      <w:pPr>
        <w:spacing w:after="60"/>
      </w:pPr>
      <w:r>
        <w:rPr>
          <w:b/>
        </w:rPr>
        <w:t xml:space="preserve">Clean-trained WISDM under ADP: </w:t>
      </w:r>
      <w:r>
        <w:t>Typing F1 dropped from the clean baseline of 0.785 to about 0.134-0.158 across the ε_t sweep.</w:t>
      </w:r>
    </w:p>
    <w:p w14:paraId="6DBBF49C" w14:textId="77777777" w:rsidR="00461A0F" w:rsidRDefault="00000000">
      <w:pPr>
        <w:spacing w:after="60"/>
      </w:pPr>
      <w:r>
        <w:rPr>
          <w:b/>
        </w:rPr>
        <w:t xml:space="preserve">Attacker-aware WISDM under ADP: </w:t>
      </w:r>
      <w:r>
        <w:t>AW F1 stayed high at 0.680-0.754 for ε_t = 0.05-0.50 and dropped to 0.274 at ε_t = 1.00.</w:t>
      </w:r>
    </w:p>
    <w:p w14:paraId="5EA400FA" w14:textId="77777777" w:rsidR="00461A0F" w:rsidRDefault="00000000">
      <w:pPr>
        <w:spacing w:after="60"/>
      </w:pPr>
      <w:r>
        <w:rPr>
          <w:b/>
        </w:rPr>
        <w:t xml:space="preserve">Attacker-aware utility: </w:t>
      </w:r>
      <w:r>
        <w:t>Non-typing utility stayed low at 0.217-0.243 versus the clean utility baseline of 0.652.</w:t>
      </w:r>
    </w:p>
    <w:p w14:paraId="54C65DD9" w14:textId="77777777" w:rsidR="00461A0F" w:rsidRDefault="00000000">
      <w:pPr>
        <w:spacing w:after="60"/>
      </w:pPr>
      <w:r>
        <w:rPr>
          <w:b/>
        </w:rPr>
        <w:t xml:space="preserve">Gate-only comparison: </w:t>
      </w:r>
      <w:r>
        <w:t>A gate-only baseline achieved F1 = 0.743, close to AW F1 in the high-contrast regime, supporting the claim that the attacker can relearn the gate.</w:t>
      </w:r>
    </w:p>
    <w:p w14:paraId="590B1E4E" w14:textId="77777777" w:rsidR="00461A0F" w:rsidRDefault="00000000">
      <w:pPr>
        <w:spacing w:after="60"/>
      </w:pPr>
      <w:r>
        <w:rPr>
          <w:b/>
        </w:rPr>
        <w:t xml:space="preserve">Gate-attacker correlation: </w:t>
      </w:r>
      <w:r>
        <w:t>Pearson correlation between the attacker-aware predicted probability signal and gate state was ρ &gt;= 0.91 for ε_t in {0.05, 0.10, 0.20}, ρ = 0.91 at ε_t = 0.50, and ρ = 0.47 at ε_t = 1.00.</w:t>
      </w:r>
    </w:p>
    <w:p w14:paraId="1A967353" w14:textId="77777777" w:rsidR="00461A0F" w:rsidRDefault="00000000">
      <w:pPr>
        <w:spacing w:after="60"/>
      </w:pPr>
      <w:r>
        <w:rPr>
          <w:b/>
        </w:rPr>
        <w:t xml:space="preserve">Mean effective ε: </w:t>
      </w:r>
      <w:r>
        <w:t>Mean released per-row ε on test moved only from 1.767 to 1.846 across the sweep because non-typing windows dominate the dataset.</w:t>
      </w:r>
    </w:p>
    <w:p w14:paraId="18D2FA97" w14:textId="77777777" w:rsidR="00461A0F" w:rsidRDefault="00000000">
      <w:pPr>
        <w:spacing w:after="60"/>
      </w:pPr>
      <w:r>
        <w:rPr>
          <w:b/>
        </w:rPr>
        <w:lastRenderedPageBreak/>
        <w:t xml:space="preserve">Fixed-DP on Keystroke100: </w:t>
      </w:r>
      <w:r>
        <w:t>Clean top-1 accuracy of 0.947 collapsed to at most 0.047 attacker-aware and at most 0.020 clean-trained across the fixed-Laplace sweep; attacker-aware mean EER rose to 0.45-0.48.</w:t>
      </w:r>
    </w:p>
    <w:p w14:paraId="3100C6C8" w14:textId="6468FE09" w:rsidR="00461A0F" w:rsidRDefault="00461A0F">
      <w:pPr>
        <w:spacing w:after="40"/>
        <w:ind w:left="288" w:hanging="216"/>
      </w:pPr>
    </w:p>
    <w:sectPr w:rsidR="00461A0F" w:rsidSect="00034616">
      <w:footerReference w:type="default" r:id="rId8"/>
      <w:pgSz w:w="12240" w:h="15840"/>
      <w:pgMar w:top="1080"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BD00C" w14:textId="77777777" w:rsidR="001A1DAB" w:rsidRDefault="001A1DAB">
      <w:pPr>
        <w:spacing w:after="0" w:line="240" w:lineRule="auto"/>
      </w:pPr>
      <w:r>
        <w:separator/>
      </w:r>
    </w:p>
  </w:endnote>
  <w:endnote w:type="continuationSeparator" w:id="0">
    <w:p w14:paraId="33C8A46D" w14:textId="77777777" w:rsidR="001A1DAB" w:rsidRDefault="001A1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9374" w14:textId="77777777" w:rsidR="00461A0F" w:rsidRDefault="00000000">
    <w:pPr>
      <w:pStyle w:val="Footer"/>
      <w:jc w:val="right"/>
    </w:pPr>
    <w:r>
      <w:t xml:space="preserve">Page </w:t>
    </w:r>
    <w:r>
      <w:fldChar w:fldCharType="begin"/>
    </w:r>
    <w:r>
      <w:instrText>PAGE</w:instrText>
    </w:r>
    <w:r w:rsidR="005077AB">
      <w:fldChar w:fldCharType="separate"/>
    </w:r>
    <w:r w:rsidR="005077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038B" w14:textId="77777777" w:rsidR="001A1DAB" w:rsidRDefault="001A1DAB">
      <w:pPr>
        <w:spacing w:after="0" w:line="240" w:lineRule="auto"/>
      </w:pPr>
      <w:r>
        <w:separator/>
      </w:r>
    </w:p>
  </w:footnote>
  <w:footnote w:type="continuationSeparator" w:id="0">
    <w:p w14:paraId="266C6B46" w14:textId="77777777" w:rsidR="001A1DAB" w:rsidRDefault="001A1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846383">
    <w:abstractNumId w:val="8"/>
  </w:num>
  <w:num w:numId="2" w16cid:durableId="1028139364">
    <w:abstractNumId w:val="6"/>
  </w:num>
  <w:num w:numId="3" w16cid:durableId="603078665">
    <w:abstractNumId w:val="5"/>
  </w:num>
  <w:num w:numId="4" w16cid:durableId="210727062">
    <w:abstractNumId w:val="4"/>
  </w:num>
  <w:num w:numId="5" w16cid:durableId="920723745">
    <w:abstractNumId w:val="7"/>
  </w:num>
  <w:num w:numId="6" w16cid:durableId="691145435">
    <w:abstractNumId w:val="3"/>
  </w:num>
  <w:num w:numId="7" w16cid:durableId="733313339">
    <w:abstractNumId w:val="2"/>
  </w:num>
  <w:num w:numId="8" w16cid:durableId="1252275889">
    <w:abstractNumId w:val="1"/>
  </w:num>
  <w:num w:numId="9" w16cid:durableId="154752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DAB"/>
    <w:rsid w:val="0029639D"/>
    <w:rsid w:val="002A579B"/>
    <w:rsid w:val="00326F90"/>
    <w:rsid w:val="00461A0F"/>
    <w:rsid w:val="005077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A5855"/>
  <w14:defaultImageDpi w14:val="300"/>
  <w15:docId w15:val="{CFAB9100-8464-4BA6-B5FB-7E91FB41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Gravereaux, Stephen C</cp:lastModifiedBy>
  <cp:revision>2</cp:revision>
  <dcterms:created xsi:type="dcterms:W3CDTF">2026-04-21T13:02:00Z</dcterms:created>
  <dcterms:modified xsi:type="dcterms:W3CDTF">2026-04-21T13:02:00Z</dcterms:modified>
  <cp:category/>
</cp:coreProperties>
</file>