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ns336VME+exU4YTnSSdQWFWkA==">CgMxLjA4AHIhMVFlTVBuSGx4TnE1NWpOWVh4ajQtR3oydnM5bG00Nl9J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