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535E" w14:textId="77777777" w:rsidR="006707BC" w:rsidRDefault="00611B7D">
      <w:pPr>
        <w:spacing w:after="0"/>
        <w:jc w:val="center"/>
      </w:pPr>
      <w:r>
        <w:rPr>
          <w:noProof/>
        </w:rPr>
        <w:drawing>
          <wp:inline distT="0" distB="0" distL="0" distR="0" wp14:anchorId="0862BB39" wp14:editId="4EB52324">
            <wp:extent cx="12161520" cy="8686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6152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06CD" w14:textId="77777777" w:rsidR="006707BC" w:rsidRDefault="006707BC">
      <w:pPr>
        <w:sectPr w:rsidR="006707BC">
          <w:pgSz w:w="20160" w:h="14400"/>
          <w:pgMar w:top="288" w:right="288" w:bottom="288" w:left="288" w:header="288" w:footer="288" w:gutter="0"/>
          <w:cols w:space="720"/>
          <w:docGrid w:linePitch="360"/>
        </w:sectPr>
      </w:pPr>
    </w:p>
    <w:p w14:paraId="38F2D584" w14:textId="77777777" w:rsidR="006707BC" w:rsidRDefault="00611B7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6120714" wp14:editId="4CA64C6D">
            <wp:extent cx="18072847" cy="7315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72847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0A22" w14:textId="77777777" w:rsidR="006707BC" w:rsidRDefault="006707BC">
      <w:pPr>
        <w:sectPr w:rsidR="006707BC">
          <w:pgSz w:w="30240" w:h="12240"/>
          <w:pgMar w:top="288" w:right="288" w:bottom="288" w:left="288" w:header="288" w:footer="288" w:gutter="0"/>
          <w:cols w:space="720"/>
          <w:docGrid w:linePitch="360"/>
        </w:sectPr>
      </w:pPr>
    </w:p>
    <w:p w14:paraId="37EFAABF" w14:textId="77777777" w:rsidR="006707BC" w:rsidRDefault="00611B7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2CEDA59" wp14:editId="749B5F9F">
            <wp:extent cx="18269036" cy="89489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69036" cy="894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268D" w14:textId="77777777" w:rsidR="006707BC" w:rsidRDefault="006707BC">
      <w:pPr>
        <w:sectPr w:rsidR="006707BC">
          <w:pgSz w:w="30240" w:h="14813"/>
          <w:pgMar w:top="288" w:right="288" w:bottom="288" w:left="288" w:header="288" w:footer="288" w:gutter="0"/>
          <w:cols w:space="720"/>
          <w:docGrid w:linePitch="360"/>
        </w:sectPr>
      </w:pPr>
    </w:p>
    <w:p w14:paraId="4FB1956F" w14:textId="77777777" w:rsidR="006707BC" w:rsidRDefault="00611B7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7B0480F" wp14:editId="10C90D24">
            <wp:extent cx="17370234" cy="19476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0234" cy="194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B597" w14:textId="77777777" w:rsidR="006707BC" w:rsidRDefault="006707BC">
      <w:pPr>
        <w:sectPr w:rsidR="006707BC">
          <w:pgSz w:w="27997" w:h="31392"/>
          <w:pgMar w:top="288" w:right="288" w:bottom="288" w:left="288" w:header="288" w:footer="288" w:gutter="0"/>
          <w:cols w:space="720"/>
          <w:docGrid w:linePitch="360"/>
        </w:sectPr>
      </w:pPr>
    </w:p>
    <w:p w14:paraId="3149473C" w14:textId="77777777" w:rsidR="006707BC" w:rsidRDefault="00611B7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C09DF92" wp14:editId="71D28E12">
            <wp:extent cx="18002250" cy="685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996B" w14:textId="77777777" w:rsidR="006707BC" w:rsidRDefault="006707BC">
      <w:pPr>
        <w:sectPr w:rsidR="006707BC">
          <w:pgSz w:w="30240" w:h="11520"/>
          <w:pgMar w:top="288" w:right="288" w:bottom="288" w:left="288" w:header="288" w:footer="288" w:gutter="0"/>
          <w:cols w:space="720"/>
          <w:docGrid w:linePitch="360"/>
        </w:sectPr>
      </w:pPr>
    </w:p>
    <w:p w14:paraId="739088CA" w14:textId="77777777" w:rsidR="006707BC" w:rsidRDefault="00611B7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5A144EC" wp14:editId="06DDD94B">
            <wp:extent cx="18002250" cy="685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B54E" w14:textId="77777777" w:rsidR="006707BC" w:rsidRDefault="006707BC">
      <w:pPr>
        <w:sectPr w:rsidR="006707BC">
          <w:pgSz w:w="30240" w:h="11520"/>
          <w:pgMar w:top="288" w:right="288" w:bottom="288" w:left="288" w:header="288" w:footer="288" w:gutter="0"/>
          <w:cols w:space="720"/>
          <w:docGrid w:linePitch="360"/>
        </w:sectPr>
      </w:pPr>
    </w:p>
    <w:p w14:paraId="502437FE" w14:textId="77777777" w:rsidR="006707BC" w:rsidRDefault="00611B7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7E5D7A2" wp14:editId="178E1CF9">
            <wp:extent cx="18002250" cy="685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F021" w14:textId="77777777" w:rsidR="006707BC" w:rsidRDefault="006707BC">
      <w:pPr>
        <w:sectPr w:rsidR="006707BC">
          <w:pgSz w:w="30240" w:h="11520"/>
          <w:pgMar w:top="288" w:right="288" w:bottom="288" w:left="288" w:header="288" w:footer="288" w:gutter="0"/>
          <w:cols w:space="720"/>
          <w:docGrid w:linePitch="360"/>
        </w:sectPr>
      </w:pPr>
    </w:p>
    <w:p w14:paraId="3EFCE832" w14:textId="77777777" w:rsidR="006707BC" w:rsidRDefault="00611B7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1FA3BFF" wp14:editId="37DC80AD">
            <wp:extent cx="18002250" cy="685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A793" w14:textId="77777777" w:rsidR="006707BC" w:rsidRDefault="006707BC">
      <w:pPr>
        <w:sectPr w:rsidR="006707BC">
          <w:pgSz w:w="30240" w:h="11520"/>
          <w:pgMar w:top="288" w:right="288" w:bottom="288" w:left="288" w:header="288" w:footer="288" w:gutter="0"/>
          <w:cols w:space="720"/>
          <w:docGrid w:linePitch="360"/>
        </w:sectPr>
      </w:pPr>
    </w:p>
    <w:p w14:paraId="3B7D6AF9" w14:textId="77777777" w:rsidR="006707BC" w:rsidRDefault="00611B7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1413AED" wp14:editId="5E7E53E9">
            <wp:extent cx="18002250" cy="685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B19D" w14:textId="77777777" w:rsidR="006707BC" w:rsidRDefault="006707BC">
      <w:pPr>
        <w:sectPr w:rsidR="006707BC">
          <w:pgSz w:w="30240" w:h="11520"/>
          <w:pgMar w:top="288" w:right="288" w:bottom="288" w:left="288" w:header="288" w:footer="288" w:gutter="0"/>
          <w:cols w:space="720"/>
          <w:docGrid w:linePitch="360"/>
        </w:sectPr>
      </w:pPr>
    </w:p>
    <w:p w14:paraId="5213C819" w14:textId="77777777" w:rsidR="006707BC" w:rsidRDefault="00611B7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F660C3B" wp14:editId="78EFED33">
            <wp:extent cx="18371846" cy="101132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71846" cy="1011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4EC8" w14:textId="77777777" w:rsidR="006707BC" w:rsidRDefault="006707BC">
      <w:pPr>
        <w:sectPr w:rsidR="006707BC">
          <w:pgSz w:w="30240" w:h="16646"/>
          <w:pgMar w:top="288" w:right="288" w:bottom="288" w:left="288" w:header="288" w:footer="288" w:gutter="0"/>
          <w:cols w:space="720"/>
          <w:docGrid w:linePitch="360"/>
        </w:sectPr>
      </w:pPr>
    </w:p>
    <w:p w14:paraId="2D0B377B" w14:textId="77777777" w:rsidR="006707BC" w:rsidRDefault="00611B7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76BBF74" wp14:editId="6B9C9DC7">
            <wp:extent cx="18002250" cy="6858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47F2" w14:textId="77777777" w:rsidR="006707BC" w:rsidRDefault="006707BC">
      <w:pPr>
        <w:sectPr w:rsidR="006707BC">
          <w:pgSz w:w="30240" w:h="11520"/>
          <w:pgMar w:top="288" w:right="288" w:bottom="288" w:left="288" w:header="288" w:footer="288" w:gutter="0"/>
          <w:cols w:space="720"/>
          <w:docGrid w:linePitch="360"/>
        </w:sectPr>
      </w:pPr>
    </w:p>
    <w:p w14:paraId="4940D5B9" w14:textId="77777777" w:rsidR="006707BC" w:rsidRDefault="00611B7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25DD6EC" wp14:editId="150B10DA">
            <wp:extent cx="18038148" cy="708355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38148" cy="708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E6A2" w14:textId="77777777" w:rsidR="006707BC" w:rsidRDefault="006707BC">
      <w:pPr>
        <w:sectPr w:rsidR="006707BC">
          <w:pgSz w:w="30240" w:h="11875"/>
          <w:pgMar w:top="288" w:right="288" w:bottom="288" w:left="288" w:header="288" w:footer="288" w:gutter="0"/>
          <w:cols w:space="720"/>
          <w:docGrid w:linePitch="360"/>
        </w:sectPr>
      </w:pPr>
    </w:p>
    <w:p w14:paraId="48C3B92E" w14:textId="77777777" w:rsidR="006707BC" w:rsidRDefault="00611B7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4922B13" wp14:editId="568B545D">
            <wp:extent cx="18291470" cy="91805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91470" cy="918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FBDF" w14:textId="77777777" w:rsidR="006707BC" w:rsidRDefault="006707BC">
      <w:pPr>
        <w:sectPr w:rsidR="006707BC">
          <w:pgSz w:w="30240" w:h="15178"/>
          <w:pgMar w:top="288" w:right="288" w:bottom="288" w:left="288" w:header="288" w:footer="288" w:gutter="0"/>
          <w:cols w:space="720"/>
          <w:docGrid w:linePitch="360"/>
        </w:sectPr>
      </w:pPr>
    </w:p>
    <w:p w14:paraId="09024B8B" w14:textId="77777777" w:rsidR="006707BC" w:rsidRDefault="00611B7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A30532B" wp14:editId="6AF37B39">
            <wp:extent cx="18002250" cy="6858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C972" w14:textId="77777777" w:rsidR="006707BC" w:rsidRDefault="006707BC">
      <w:pPr>
        <w:sectPr w:rsidR="006707BC">
          <w:pgSz w:w="30240" w:h="11520"/>
          <w:pgMar w:top="288" w:right="288" w:bottom="288" w:left="288" w:header="288" w:footer="288" w:gutter="0"/>
          <w:cols w:space="720"/>
          <w:docGrid w:linePitch="360"/>
        </w:sectPr>
      </w:pPr>
    </w:p>
    <w:p w14:paraId="29F4EBDD" w14:textId="77777777" w:rsidR="00FB3E53" w:rsidRPr="00CF2ED5" w:rsidRDefault="00B76228">
      <w:pPr>
        <w:keepLines/>
        <w:spacing w:after="480" w:line="280" w:lineRule="exact"/>
        <w:rPr>
          <w:rFonts w:ascii="Times" w:hAnsi="Times" w:cs="Times"/>
          <w:b/>
          <w:bCs/>
        </w:rPr>
      </w:pPr>
      <w:r w:rsidRPr="00CF2ED5">
        <w:rPr>
          <w:rFonts w:ascii="Times" w:hAnsi="Times" w:cs="Times"/>
          <w:b/>
          <w:bCs/>
          <w:color w:val="000000"/>
          <w:sz w:val="26"/>
          <w:szCs w:val="26"/>
        </w:rPr>
        <w:lastRenderedPageBreak/>
        <w:t xml:space="preserve">Supplementary Figure 1. Recombination-filtered phylogenies of candidate surveillance-priority </w:t>
      </w:r>
      <w:r w:rsidRPr="00CF2ED5">
        <w:rPr>
          <w:rFonts w:ascii="Times" w:hAnsi="Times" w:cs="Times"/>
          <w:b/>
          <w:bCs/>
          <w:i/>
          <w:iCs/>
          <w:color w:val="000000"/>
          <w:sz w:val="26"/>
          <w:szCs w:val="26"/>
        </w:rPr>
        <w:t>Klebsiella variicola</w:t>
      </w:r>
      <w:r w:rsidRPr="00CF2ED5">
        <w:rPr>
          <w:rFonts w:ascii="Times" w:hAnsi="Times" w:cs="Times"/>
          <w:b/>
          <w:bCs/>
          <w:color w:val="000000"/>
          <w:sz w:val="26"/>
          <w:szCs w:val="26"/>
        </w:rPr>
        <w:t xml:space="preserve"> sequence types.</w:t>
      </w:r>
    </w:p>
    <w:p w14:paraId="340941C5" w14:textId="31B14D6F" w:rsidR="00FB3E53" w:rsidRPr="00CF2ED5" w:rsidRDefault="00B76228" w:rsidP="00CF2ED5">
      <w:pPr>
        <w:keepLines/>
        <w:spacing w:after="120" w:line="360" w:lineRule="auto"/>
        <w:rPr>
          <w:rFonts w:ascii="Times" w:hAnsi="Times" w:cs="Times"/>
        </w:rPr>
      </w:pPr>
      <w:r w:rsidRPr="00CF2ED5">
        <w:rPr>
          <w:rFonts w:ascii="Times" w:hAnsi="Times" w:cs="Times"/>
          <w:color w:val="000000"/>
          <w:sz w:val="24"/>
          <w:szCs w:val="24"/>
        </w:rPr>
        <w:t xml:space="preserve">Panels A-M show ST454, ST641, ST347, ST981, ST697, ST919, ST1737, ST596, ST6219, ST197, ST616, ST1562 and ST208, respectively. The trees include all 299 candidate genomes represented in the </w:t>
      </w:r>
      <w:r w:rsidRPr="00CF2ED5">
        <w:rPr>
          <w:rFonts w:ascii="Times" w:hAnsi="Times" w:cs="Times"/>
          <w:color w:val="000000"/>
          <w:sz w:val="24"/>
          <w:szCs w:val="24"/>
        </w:rPr>
        <w:t xml:space="preserve">recombination-filtered alignments. SAMN26369047 was not included in the ST1562 phylogeny following its earlier exclusion for assembly fragmentation; it remains among the 300 genomes used for ST-level prioritisation. Removed population-QC genomes are not shown. Verified identical core-alignment sequences were restored at zero branch length around their </w:t>
      </w:r>
      <w:r w:rsidRPr="00CF2ED5">
        <w:rPr>
          <w:rFonts w:ascii="Times" w:hAnsi="Times" w:cs="Times"/>
          <w:color w:val="000000"/>
          <w:sz w:val="24"/>
          <w:szCs w:val="24"/>
        </w:rPr>
        <w:t>representative, without resolving relationships among indistinguishable tips.</w:t>
      </w:r>
    </w:p>
    <w:p w14:paraId="622CFD27" w14:textId="65A5C40E" w:rsidR="00FB3E53" w:rsidRPr="00CF2ED5" w:rsidRDefault="00B76228" w:rsidP="00CF2ED5">
      <w:pPr>
        <w:keepLines/>
        <w:spacing w:after="120" w:line="360" w:lineRule="auto"/>
        <w:rPr>
          <w:rFonts w:ascii="Times" w:hAnsi="Times" w:cs="Times"/>
        </w:rPr>
      </w:pPr>
      <w:r w:rsidRPr="00CF2ED5">
        <w:rPr>
          <w:rFonts w:ascii="Times" w:hAnsi="Times" w:cs="Times"/>
          <w:color w:val="000000"/>
          <w:sz w:val="24"/>
          <w:szCs w:val="24"/>
        </w:rPr>
        <w:t>Branch lengths and individual scale bars denote recombination-filtered substitutions in Gubbins point-mutation units, not substitutions per site. These inferred branch lengths are distinct from the observed pairwise SNP counts used for clustering. Scale values differ among panels; each tree is drawn on a linear scale. Root placement follows the retained tree and is not evidence of the direction of spread.</w:t>
      </w:r>
    </w:p>
    <w:p w14:paraId="72F8B228" w14:textId="7FEB6630" w:rsidR="00FB3E53" w:rsidRPr="00CF2ED5" w:rsidRDefault="00B76228" w:rsidP="00CF2ED5">
      <w:pPr>
        <w:keepLines/>
        <w:spacing w:after="120" w:line="360" w:lineRule="auto"/>
        <w:rPr>
          <w:rFonts w:ascii="Times" w:hAnsi="Times" w:cs="Times"/>
        </w:rPr>
      </w:pPr>
      <w:r w:rsidRPr="00CF2ED5">
        <w:rPr>
          <w:rFonts w:ascii="Times" w:hAnsi="Times" w:cs="Times"/>
          <w:color w:val="000000"/>
          <w:sz w:val="24"/>
          <w:szCs w:val="24"/>
        </w:rPr>
        <w:t xml:space="preserve">Tip metadata show source category, country, collection year, genotypic MDR, ESBL, carbapenemase, major virulence markers, AMR-virulence convergence and the number of distinct PlasmidFinder replicon designations. MDR denotes an exported resistance-class count of at least three; these reporting categories include separate beta-lactam categories and do not establish phenotypic MDR. ESBL denotes a hit in either acquired ESBL field, including the inhibitor-resistant ESBL field; carbapenemase denotes an acquired </w:t>
      </w:r>
      <w:r w:rsidRPr="00CF2ED5">
        <w:rPr>
          <w:rFonts w:ascii="Times" w:hAnsi="Times" w:cs="Times"/>
          <w:color w:val="000000"/>
          <w:sz w:val="24"/>
          <w:szCs w:val="24"/>
        </w:rPr>
        <w:t>carbapenemase hit. Vir denotes a reported yersiniabactin (</w:t>
      </w:r>
      <w:r w:rsidRPr="00CF2ED5">
        <w:rPr>
          <w:rFonts w:ascii="Times" w:hAnsi="Times" w:cs="Times"/>
          <w:i/>
          <w:iCs/>
          <w:color w:val="000000"/>
          <w:sz w:val="24"/>
          <w:szCs w:val="24"/>
        </w:rPr>
        <w:t>ybt</w:t>
      </w:r>
      <w:r w:rsidRPr="00CF2ED5">
        <w:rPr>
          <w:rFonts w:ascii="Times" w:hAnsi="Times" w:cs="Times"/>
          <w:color w:val="000000"/>
          <w:sz w:val="24"/>
          <w:szCs w:val="24"/>
        </w:rPr>
        <w:t>), colibactin (</w:t>
      </w:r>
      <w:r w:rsidRPr="00CF2ED5">
        <w:rPr>
          <w:rFonts w:ascii="Times" w:hAnsi="Times" w:cs="Times"/>
          <w:i/>
          <w:iCs/>
          <w:color w:val="000000"/>
          <w:sz w:val="24"/>
          <w:szCs w:val="24"/>
        </w:rPr>
        <w:t>clb</w:t>
      </w:r>
      <w:r w:rsidRPr="00CF2ED5">
        <w:rPr>
          <w:rFonts w:ascii="Times" w:hAnsi="Times" w:cs="Times"/>
          <w:color w:val="000000"/>
          <w:sz w:val="24"/>
          <w:szCs w:val="24"/>
        </w:rPr>
        <w:t>), aerobactin (</w:t>
      </w:r>
      <w:r w:rsidRPr="00CF2ED5">
        <w:rPr>
          <w:rFonts w:ascii="Times" w:hAnsi="Times" w:cs="Times"/>
          <w:i/>
          <w:iCs/>
          <w:color w:val="000000"/>
          <w:sz w:val="24"/>
          <w:szCs w:val="24"/>
        </w:rPr>
        <w:t>iuc</w:t>
      </w:r>
      <w:r w:rsidRPr="00CF2ED5">
        <w:rPr>
          <w:rFonts w:ascii="Times" w:hAnsi="Times" w:cs="Times"/>
          <w:color w:val="000000"/>
          <w:sz w:val="24"/>
          <w:szCs w:val="24"/>
        </w:rPr>
        <w:t>), salmochelin (</w:t>
      </w:r>
      <w:r w:rsidRPr="00CF2ED5">
        <w:rPr>
          <w:rFonts w:ascii="Times" w:hAnsi="Times" w:cs="Times"/>
          <w:i/>
          <w:iCs/>
          <w:color w:val="000000"/>
          <w:sz w:val="24"/>
          <w:szCs w:val="24"/>
        </w:rPr>
        <w:t>iro</w:t>
      </w:r>
      <w:r w:rsidRPr="00CF2ED5">
        <w:rPr>
          <w:rFonts w:ascii="Times" w:hAnsi="Times" w:cs="Times"/>
          <w:color w:val="000000"/>
          <w:sz w:val="24"/>
          <w:szCs w:val="24"/>
        </w:rPr>
        <w:t xml:space="preserve">), </w:t>
      </w:r>
      <w:r w:rsidRPr="00CF2ED5">
        <w:rPr>
          <w:rFonts w:ascii="Times" w:hAnsi="Times" w:cs="Times"/>
          <w:i/>
          <w:iCs/>
          <w:color w:val="000000"/>
          <w:sz w:val="24"/>
          <w:szCs w:val="24"/>
        </w:rPr>
        <w:t>rmpADC</w:t>
      </w:r>
      <w:r w:rsidRPr="00CF2ED5">
        <w:rPr>
          <w:rFonts w:ascii="Times" w:hAnsi="Times" w:cs="Times"/>
          <w:color w:val="000000"/>
          <w:sz w:val="24"/>
          <w:szCs w:val="24"/>
        </w:rPr>
        <w:t xml:space="preserve">, </w:t>
      </w:r>
      <w:r w:rsidRPr="00CF2ED5">
        <w:rPr>
          <w:rFonts w:ascii="Times" w:hAnsi="Times" w:cs="Times"/>
          <w:i/>
          <w:iCs/>
          <w:color w:val="000000"/>
          <w:sz w:val="24"/>
          <w:szCs w:val="24"/>
        </w:rPr>
        <w:t>rmpA</w:t>
      </w:r>
      <w:r w:rsidRPr="00CF2ED5">
        <w:rPr>
          <w:rFonts w:ascii="Times" w:hAnsi="Times" w:cs="Times"/>
          <w:color w:val="000000"/>
          <w:sz w:val="24"/>
          <w:szCs w:val="24"/>
        </w:rPr>
        <w:t xml:space="preserve"> or </w:t>
      </w:r>
      <w:r w:rsidRPr="00CF2ED5">
        <w:rPr>
          <w:rFonts w:ascii="Times" w:hAnsi="Times" w:cs="Times"/>
          <w:i/>
          <w:iCs/>
          <w:color w:val="000000"/>
          <w:sz w:val="24"/>
          <w:szCs w:val="24"/>
        </w:rPr>
        <w:t>rmpA2</w:t>
      </w:r>
      <w:r w:rsidRPr="00CF2ED5">
        <w:rPr>
          <w:rFonts w:ascii="Times" w:hAnsi="Times" w:cs="Times"/>
          <w:color w:val="000000"/>
          <w:sz w:val="24"/>
          <w:szCs w:val="24"/>
        </w:rPr>
        <w:t xml:space="preserve"> annotation. R-V denotes co-carriage of a major virulence marker and MDR, ESBL or carbapenemase status. </w:t>
      </w:r>
      <w:r w:rsidR="00CF2ED5">
        <w:rPr>
          <w:rFonts w:ascii="Times" w:hAnsi="Times" w:cs="Times"/>
          <w:color w:val="000000"/>
          <w:sz w:val="24"/>
          <w:szCs w:val="24"/>
        </w:rPr>
        <w:t>T</w:t>
      </w:r>
      <w:r w:rsidRPr="00CF2ED5">
        <w:rPr>
          <w:rFonts w:ascii="Times" w:hAnsi="Times" w:cs="Times"/>
          <w:color w:val="000000"/>
          <w:sz w:val="24"/>
          <w:szCs w:val="24"/>
        </w:rPr>
        <w:t>hese annotations do not establish locus functionality or hypervirulence.</w:t>
      </w:r>
    </w:p>
    <w:p w14:paraId="49D7A570" w14:textId="04BC34C7" w:rsidR="00FB3E53" w:rsidRPr="00CF2ED5" w:rsidRDefault="00B76228" w:rsidP="00CF2ED5">
      <w:pPr>
        <w:keepLines/>
        <w:spacing w:after="120" w:line="360" w:lineRule="auto"/>
        <w:rPr>
          <w:rFonts w:ascii="Times" w:hAnsi="Times" w:cs="Times"/>
        </w:rPr>
      </w:pPr>
      <w:r w:rsidRPr="00CF2ED5">
        <w:rPr>
          <w:rFonts w:ascii="Times" w:hAnsi="Times" w:cs="Times"/>
          <w:color w:val="000000"/>
          <w:sz w:val="24"/>
          <w:szCs w:val="24"/>
        </w:rPr>
        <w:t>Key AMR lists ESBL/carbapenemase alleles</w:t>
      </w:r>
      <w:r w:rsidRPr="00CF2ED5">
        <w:rPr>
          <w:rFonts w:ascii="Times" w:hAnsi="Times" w:cs="Times"/>
          <w:color w:val="000000"/>
          <w:sz w:val="24"/>
          <w:szCs w:val="24"/>
        </w:rPr>
        <w:t>; the virulence column gives reported locus annotations. Grey squares indicate feature absence, grey source circles indicate unknown source, and dashes denote missing metadata or no detected gene/locus in the corresponding column. Cluster membership is supplied in the accompanying tables rather than plotted as a separate strip. These within-ST phylogenies refined surveillance prioritisation by assessing resistant expansion, possible cross-source and international clustering, resistance-virulence convergence</w:t>
      </w:r>
      <w:r w:rsidRPr="00CF2ED5">
        <w:rPr>
          <w:rFonts w:ascii="Times" w:hAnsi="Times" w:cs="Times"/>
          <w:color w:val="000000"/>
          <w:sz w:val="24"/>
          <w:szCs w:val="24"/>
        </w:rPr>
        <w:t xml:space="preserve"> and dispersed resistance compatible with acquisition or loss. Categories are descriptive and non-exclusive. Close ancestry and matching genomic profiles do not demonstrate direct transmission, independent acquisition events, intact plasmid structures or AMR-gene localisation.</w:t>
      </w:r>
    </w:p>
    <w:sectPr w:rsidR="00FB3E53" w:rsidRPr="00CF2ED5" w:rsidSect="00034616">
      <w:pgSz w:w="20160" w:h="14400"/>
      <w:pgMar w:top="1050" w:right="5184" w:bottom="1050" w:left="144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1890033">
    <w:abstractNumId w:val="8"/>
  </w:num>
  <w:num w:numId="2" w16cid:durableId="1405880611">
    <w:abstractNumId w:val="6"/>
  </w:num>
  <w:num w:numId="3" w16cid:durableId="1003239899">
    <w:abstractNumId w:val="5"/>
  </w:num>
  <w:num w:numId="4" w16cid:durableId="298539200">
    <w:abstractNumId w:val="4"/>
  </w:num>
  <w:num w:numId="5" w16cid:durableId="320894221">
    <w:abstractNumId w:val="7"/>
  </w:num>
  <w:num w:numId="6" w16cid:durableId="475949856">
    <w:abstractNumId w:val="3"/>
  </w:num>
  <w:num w:numId="7" w16cid:durableId="905266962">
    <w:abstractNumId w:val="2"/>
  </w:num>
  <w:num w:numId="8" w16cid:durableId="112675972">
    <w:abstractNumId w:val="1"/>
  </w:num>
  <w:num w:numId="9" w16cid:durableId="76357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BCF"/>
    <w:rsid w:val="0015074B"/>
    <w:rsid w:val="0029639D"/>
    <w:rsid w:val="00326F90"/>
    <w:rsid w:val="0045184B"/>
    <w:rsid w:val="00611B7D"/>
    <w:rsid w:val="006707BC"/>
    <w:rsid w:val="00AA1D8D"/>
    <w:rsid w:val="00B47730"/>
    <w:rsid w:val="00CB0664"/>
    <w:rsid w:val="00CF2ED5"/>
    <w:rsid w:val="00EB082C"/>
    <w:rsid w:val="00FB3E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153620"/>
  <w14:defaultImageDpi w14:val="300"/>
  <w15:docId w15:val="{CA6DAC83-D2FD-473F-B1E0-13D8DE21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Fordham</cp:lastModifiedBy>
  <cp:revision>2</cp:revision>
  <dcterms:created xsi:type="dcterms:W3CDTF">2026-10-28T07:13:00Z</dcterms:created>
  <dcterms:modified xsi:type="dcterms:W3CDTF">2026-10-28T07:13:00Z</dcterms:modified>
  <cp:category/>
</cp:coreProperties>
</file>