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tif" ContentType="image/tiff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The reading room lease, as it came by fax</w:t>
      </w:r>
    </w:p>
    <w:p>
      <w:r>
        <w:t xml:space="preserve">The lease arrived by fax as one picture of three pages. Every page should come through, in order.</w:t>
      </w:r>
    </w:p>
    <w:p>
      <w:r>
        <w:drawing>
          <wp:inline distT="0" distB="0" distL="0" distR="0">
            <wp:extent cx="3105150" cy="4019550"/>
            <wp:docPr id="100" name="Picture 100" descr="Faxed lease for the reading room"/>
            <a:graphic>
              <a:graphicData uri="http://schemas.openxmlformats.org/drawingml/2006/picture">
                <pic:pic>
                  <pic:nvPicPr>
                    <pic:cNvPr id="100" name="Picture 100"/>
                    <pic:cNvPicPr/>
                  </pic:nvPicPr>
                  <pic:blipFill>
                    <a:blip r:embed="rMedia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signed copy is kept at the desk.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Media1" Type="http://schemas.openxmlformats.org/officeDocument/2006/relationships/image" Target="media/media1.tif"/></Relationships>
</file>