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BA7D" w14:textId="77777777" w:rsidR="003307A8" w:rsidRPr="003307A8" w:rsidRDefault="003307A8" w:rsidP="003307A8">
      <w:pPr>
        <w:rPr>
          <w:b/>
          <w:bCs/>
        </w:rPr>
      </w:pPr>
      <w:r w:rsidRPr="003307A8">
        <w:rPr>
          <w:b/>
          <w:bCs/>
        </w:rPr>
        <w:t>基于集成深度强化学习的</w:t>
      </w:r>
      <w:r w:rsidRPr="003307A8">
        <w:rPr>
          <w:b/>
          <w:bCs/>
        </w:rPr>
        <w:t>A</w:t>
      </w:r>
      <w:r w:rsidRPr="003307A8">
        <w:rPr>
          <w:b/>
          <w:bCs/>
        </w:rPr>
        <w:t>股自动化交易策略研究</w:t>
      </w:r>
    </w:p>
    <w:p w14:paraId="13163A6F" w14:textId="77777777" w:rsidR="003307A8" w:rsidRPr="003307A8" w:rsidRDefault="003307A8" w:rsidP="003307A8">
      <w:r w:rsidRPr="003307A8">
        <w:rPr>
          <w:b/>
          <w:bCs/>
        </w:rPr>
        <w:t>摘要</w:t>
      </w:r>
      <w:r w:rsidRPr="003307A8">
        <w:rPr>
          <w:b/>
          <w:bCs/>
        </w:rPr>
        <w:t xml:space="preserve"> (Abstract)</w:t>
      </w:r>
    </w:p>
    <w:p w14:paraId="56CC72E3" w14:textId="77777777" w:rsidR="003307A8" w:rsidRPr="003307A8" w:rsidRDefault="003307A8" w:rsidP="003307A8">
      <w:r w:rsidRPr="003307A8">
        <w:t>金融市场的非平稳性与高噪声特征使得设计稳健的自动化交易策略极具挑战性。传统的量化方法往往难以适应多变的市场风格。本文旨在复现并验证一种基于集成深度强化学习（</w:t>
      </w:r>
      <w:r w:rsidRPr="003307A8">
        <w:t>Ensemble Deep Reinforcement Learning</w:t>
      </w:r>
      <w:r w:rsidRPr="003307A8">
        <w:t>）的股票交易策略在中国</w:t>
      </w:r>
      <w:r w:rsidRPr="003307A8">
        <w:t>A</w:t>
      </w:r>
      <w:r w:rsidRPr="003307A8">
        <w:t>股市场的有效性。我们选取上证</w:t>
      </w:r>
      <w:r w:rsidRPr="003307A8">
        <w:t>50</w:t>
      </w:r>
      <w:r w:rsidRPr="003307A8">
        <w:t>指数成分股作为研究对象，构建了包含印花税、</w:t>
      </w:r>
      <w:r w:rsidRPr="003307A8">
        <w:t>T+1</w:t>
      </w:r>
      <w:r w:rsidRPr="003307A8">
        <w:t>交易限制及湍流风控机制的高仿真</w:t>
      </w:r>
      <w:r w:rsidRPr="003307A8">
        <w:t>A</w:t>
      </w:r>
      <w:r w:rsidRPr="003307A8">
        <w:t>股交易环境。本研究训练了三种基于</w:t>
      </w:r>
      <w:r w:rsidRPr="003307A8">
        <w:t xml:space="preserve"> Actor-Critic </w:t>
      </w:r>
      <w:r w:rsidRPr="003307A8">
        <w:t>架构的智能体</w:t>
      </w:r>
      <w:r w:rsidRPr="003307A8">
        <w:t>——PPO</w:t>
      </w:r>
      <w:r w:rsidRPr="003307A8">
        <w:t>、</w:t>
      </w:r>
      <w:r w:rsidRPr="003307A8">
        <w:t xml:space="preserve">A2C </w:t>
      </w:r>
      <w:r w:rsidRPr="003307A8">
        <w:t>和</w:t>
      </w:r>
      <w:r w:rsidRPr="003307A8">
        <w:t xml:space="preserve"> DDPG</w:t>
      </w:r>
      <w:r w:rsidRPr="003307A8">
        <w:t>，并提出了一种基于滚动窗口夏普比率（</w:t>
      </w:r>
      <w:r w:rsidRPr="003307A8">
        <w:t>Sharpe Ratio</w:t>
      </w:r>
      <w:r w:rsidRPr="003307A8">
        <w:t>）的动态集成策略。实验结果表明，在</w:t>
      </w:r>
      <w:r w:rsidRPr="003307A8">
        <w:t>2024</w:t>
      </w:r>
      <w:r w:rsidRPr="003307A8">
        <w:t>年至</w:t>
      </w:r>
      <w:r w:rsidRPr="003307A8">
        <w:t>2025</w:t>
      </w:r>
      <w:r w:rsidRPr="003307A8">
        <w:t>年的样本外测试中，单一</w:t>
      </w:r>
      <w:r w:rsidRPr="003307A8">
        <w:t xml:space="preserve"> DDPG </w:t>
      </w:r>
      <w:r w:rsidRPr="003307A8">
        <w:t>模型取得了</w:t>
      </w:r>
      <w:r w:rsidRPr="003307A8">
        <w:t xml:space="preserve"> 257.40% </w:t>
      </w:r>
      <w:r w:rsidRPr="003307A8">
        <w:t>的累积收益，显著优于市场基准；而集成策略通过在不同市场周期动态切换最优代理，实现了</w:t>
      </w:r>
      <w:r w:rsidRPr="003307A8">
        <w:t xml:space="preserve"> 66.63% </w:t>
      </w:r>
      <w:r w:rsidRPr="003307A8">
        <w:t>的稳健收益，有效规避了单一模型在特定市场环境下的失效风险。本研究证实了深度强化学习在</w:t>
      </w:r>
      <w:r w:rsidRPr="003307A8">
        <w:t>A</w:t>
      </w:r>
      <w:r w:rsidRPr="003307A8">
        <w:t>股市场获取超额收益的潜力，并为构建鲁棒的量化交易系统提供了实证依据。</w:t>
      </w:r>
    </w:p>
    <w:p w14:paraId="7C606200" w14:textId="4490875A" w:rsidR="003307A8" w:rsidRPr="003307A8" w:rsidRDefault="003307A8" w:rsidP="003307A8">
      <w:r w:rsidRPr="003307A8">
        <w:rPr>
          <w:b/>
          <w:bCs/>
        </w:rPr>
        <w:t>关键词</w:t>
      </w:r>
      <w:r w:rsidRPr="003307A8">
        <w:t>：深度强化学习，集成策略，</w:t>
      </w:r>
      <w:r w:rsidRPr="003307A8">
        <w:t>A</w:t>
      </w:r>
      <w:r w:rsidRPr="003307A8">
        <w:t>股市场，</w:t>
      </w:r>
      <w:r w:rsidRPr="003307A8">
        <w:t>PPO</w:t>
      </w:r>
      <w:r w:rsidRPr="003307A8">
        <w:t>，</w:t>
      </w:r>
      <w:r w:rsidRPr="003307A8">
        <w:t>DDPG</w:t>
      </w:r>
      <w:r w:rsidRPr="003307A8">
        <w:t>，</w:t>
      </w:r>
      <w:r w:rsidRPr="003307A8">
        <w:t>A2C</w:t>
      </w:r>
    </w:p>
    <w:p w14:paraId="189C9DA7" w14:textId="7CE11EED" w:rsidR="003307A8" w:rsidRPr="003307A8" w:rsidRDefault="003307A8" w:rsidP="003307A8"/>
    <w:p w14:paraId="4B58C8B0" w14:textId="77777777" w:rsidR="003307A8" w:rsidRPr="003307A8" w:rsidRDefault="003307A8" w:rsidP="003307A8">
      <w:pPr>
        <w:rPr>
          <w:b/>
          <w:bCs/>
        </w:rPr>
      </w:pPr>
      <w:r w:rsidRPr="003307A8">
        <w:rPr>
          <w:b/>
          <w:bCs/>
        </w:rPr>
        <w:t xml:space="preserve">1. </w:t>
      </w:r>
      <w:r w:rsidRPr="003307A8">
        <w:rPr>
          <w:b/>
          <w:bCs/>
        </w:rPr>
        <w:t>引言</w:t>
      </w:r>
      <w:r w:rsidRPr="003307A8">
        <w:rPr>
          <w:b/>
          <w:bCs/>
        </w:rPr>
        <w:t xml:space="preserve"> (Introduction)</w:t>
      </w:r>
    </w:p>
    <w:p w14:paraId="2817EA8B" w14:textId="77777777" w:rsidR="003307A8" w:rsidRPr="003307A8" w:rsidRDefault="003307A8" w:rsidP="003307A8">
      <w:pPr>
        <w:rPr>
          <w:b/>
          <w:bCs/>
        </w:rPr>
      </w:pPr>
      <w:r w:rsidRPr="003307A8">
        <w:rPr>
          <w:b/>
          <w:bCs/>
        </w:rPr>
        <w:t xml:space="preserve">1.1 </w:t>
      </w:r>
      <w:r w:rsidRPr="003307A8">
        <w:rPr>
          <w:b/>
          <w:bCs/>
        </w:rPr>
        <w:t>研究背景</w:t>
      </w:r>
    </w:p>
    <w:p w14:paraId="388DB1D6" w14:textId="77777777" w:rsidR="003307A8" w:rsidRPr="003307A8" w:rsidRDefault="003307A8" w:rsidP="003307A8">
      <w:r w:rsidRPr="003307A8">
        <w:t>股票市场是一个复杂的动态系统，受宏观经济、政策导向及投资者心理等多重因素影响，具有显著的非线性、非平稳性及高噪声特征。传统的投资策略，无论是基于基本面分析的价值投资，还是基于技术指标的趋势跟踪，往往依赖于静态的规则或线性假设，难以在瞬息万变的市场环境中持续获取超额收益（</w:t>
      </w:r>
      <w:r w:rsidRPr="003307A8">
        <w:t>Alpha</w:t>
      </w:r>
      <w:r w:rsidRPr="003307A8">
        <w:t>）。</w:t>
      </w:r>
    </w:p>
    <w:p w14:paraId="2EEC2254" w14:textId="77777777" w:rsidR="003307A8" w:rsidRPr="003307A8" w:rsidRDefault="003307A8" w:rsidP="003307A8">
      <w:r w:rsidRPr="003307A8">
        <w:t>近年来，随着人工智能技术的飞速发展，深度强化学习（</w:t>
      </w:r>
      <w:r w:rsidRPr="003307A8">
        <w:t>Deep Reinforcement Learning, DRL</w:t>
      </w:r>
      <w:r w:rsidRPr="003307A8">
        <w:t>）在解决序贯决策问题上展现出超越人类专家的能力（如</w:t>
      </w:r>
      <w:r w:rsidRPr="003307A8">
        <w:t xml:space="preserve"> AlphaGo</w:t>
      </w:r>
      <w:r w:rsidRPr="003307A8">
        <w:t>）。与传统的监督学习预测股价涨跌不同，</w:t>
      </w:r>
      <w:r w:rsidRPr="003307A8">
        <w:t xml:space="preserve">DRL </w:t>
      </w:r>
      <w:r w:rsidRPr="003307A8">
        <w:t>能够以</w:t>
      </w:r>
      <w:r w:rsidRPr="003307A8">
        <w:t>“</w:t>
      </w:r>
      <w:r w:rsidRPr="003307A8">
        <w:t>端到端</w:t>
      </w:r>
      <w:r w:rsidRPr="003307A8">
        <w:t>”</w:t>
      </w:r>
      <w:r w:rsidRPr="003307A8">
        <w:t>的方式直接输出交易动作，通过与环境的持续交互来最大化长期累积奖励。这种特性使其天然契合股票交易这一连续决策过程。</w:t>
      </w:r>
    </w:p>
    <w:p w14:paraId="33EDC436" w14:textId="77777777" w:rsidR="003307A8" w:rsidRPr="003307A8" w:rsidRDefault="003307A8" w:rsidP="003307A8">
      <w:pPr>
        <w:rPr>
          <w:b/>
          <w:bCs/>
        </w:rPr>
      </w:pPr>
      <w:r w:rsidRPr="003307A8">
        <w:rPr>
          <w:b/>
          <w:bCs/>
        </w:rPr>
        <w:t xml:space="preserve">1.2 </w:t>
      </w:r>
      <w:r w:rsidRPr="003307A8">
        <w:rPr>
          <w:b/>
          <w:bCs/>
        </w:rPr>
        <w:t>问题陈述</w:t>
      </w:r>
    </w:p>
    <w:p w14:paraId="438D2156" w14:textId="77777777" w:rsidR="003307A8" w:rsidRPr="003307A8" w:rsidRDefault="003307A8" w:rsidP="003307A8">
      <w:r w:rsidRPr="003307A8">
        <w:t>尽管</w:t>
      </w:r>
      <w:r w:rsidRPr="003307A8">
        <w:t xml:space="preserve"> DRL </w:t>
      </w:r>
      <w:r w:rsidRPr="003307A8">
        <w:t>在金融领域潜力巨大，但在实际应用中仍面临诸多挑战。其中最突出</w:t>
      </w:r>
      <w:r w:rsidRPr="003307A8">
        <w:lastRenderedPageBreak/>
        <w:t>的问题是</w:t>
      </w:r>
      <w:r w:rsidRPr="003307A8">
        <w:rPr>
          <w:b/>
          <w:bCs/>
        </w:rPr>
        <w:t>单一算法的局限性</w:t>
      </w:r>
      <w:r w:rsidRPr="003307A8">
        <w:t>。不同的</w:t>
      </w:r>
      <w:r w:rsidRPr="003307A8">
        <w:t xml:space="preserve"> DRL </w:t>
      </w:r>
      <w:r w:rsidRPr="003307A8">
        <w:t>算法具有不同的探索与利用（</w:t>
      </w:r>
      <w:r w:rsidRPr="003307A8">
        <w:t>Exploration vs. Exploitation</w:t>
      </w:r>
      <w:r w:rsidRPr="003307A8">
        <w:t>）偏好：例如，</w:t>
      </w:r>
      <w:r w:rsidRPr="003307A8">
        <w:t xml:space="preserve">DDPG </w:t>
      </w:r>
      <w:r w:rsidRPr="003307A8">
        <w:t>在趋势明朗时表现优异，但在震荡市中容易产生过拟合；而</w:t>
      </w:r>
      <w:r w:rsidRPr="003307A8">
        <w:t xml:space="preserve"> A2C </w:t>
      </w:r>
      <w:r w:rsidRPr="003307A8">
        <w:t>和</w:t>
      </w:r>
      <w:r w:rsidRPr="003307A8">
        <w:t xml:space="preserve"> PPO </w:t>
      </w:r>
      <w:r w:rsidRPr="003307A8">
        <w:t>虽然训练稳定，但可能在捕捉极端行情时显得保守。鉴于股市风格经常在牛市、熊市和震荡市之间切换，依赖单一模型极易导致策略在特定时期失效，甚至造成巨额亏损。</w:t>
      </w:r>
    </w:p>
    <w:p w14:paraId="1844B24B" w14:textId="77777777" w:rsidR="003307A8" w:rsidRPr="003307A8" w:rsidRDefault="003307A8" w:rsidP="003307A8">
      <w:r w:rsidRPr="003307A8">
        <w:t>此外，现有的大多数</w:t>
      </w:r>
      <w:r w:rsidRPr="003307A8">
        <w:t xml:space="preserve"> DRL </w:t>
      </w:r>
      <w:r w:rsidRPr="003307A8">
        <w:t>交易研究主要基于美股市场（如道琼斯</w:t>
      </w:r>
      <w:r w:rsidRPr="003307A8">
        <w:t>30</w:t>
      </w:r>
      <w:r w:rsidRPr="003307A8">
        <w:t>指数），缺乏针对中国</w:t>
      </w:r>
      <w:r w:rsidRPr="003307A8">
        <w:t>A</w:t>
      </w:r>
      <w:r w:rsidRPr="003307A8">
        <w:t>股市场的深入探讨。</w:t>
      </w:r>
      <w:r w:rsidRPr="003307A8">
        <w:t>A</w:t>
      </w:r>
      <w:r w:rsidRPr="003307A8">
        <w:t>股市场具有独特的交易机制</w:t>
      </w:r>
      <w:r w:rsidRPr="003307A8">
        <w:t>——</w:t>
      </w:r>
      <w:r w:rsidRPr="003307A8">
        <w:t>如</w:t>
      </w:r>
      <w:r w:rsidRPr="003307A8">
        <w:rPr>
          <w:b/>
          <w:bCs/>
        </w:rPr>
        <w:t xml:space="preserve">T+1 </w:t>
      </w:r>
      <w:r w:rsidRPr="003307A8">
        <w:rPr>
          <w:b/>
          <w:bCs/>
        </w:rPr>
        <w:t>交易制度</w:t>
      </w:r>
      <w:r w:rsidRPr="003307A8">
        <w:t>（当日买入不可当日卖出）和较高的</w:t>
      </w:r>
      <w:r w:rsidRPr="003307A8">
        <w:rPr>
          <w:b/>
          <w:bCs/>
        </w:rPr>
        <w:t>印花税</w:t>
      </w:r>
      <w:r w:rsidRPr="003307A8">
        <w:t>（仅卖出时收取）。直接迁移美股模型往往因忽略这些约束而导致回测结果失真，无法落地实盘。</w:t>
      </w:r>
    </w:p>
    <w:p w14:paraId="1E7896C1" w14:textId="77777777" w:rsidR="003307A8" w:rsidRPr="003307A8" w:rsidRDefault="003307A8" w:rsidP="003307A8">
      <w:pPr>
        <w:rPr>
          <w:b/>
          <w:bCs/>
        </w:rPr>
      </w:pPr>
      <w:r w:rsidRPr="003307A8">
        <w:rPr>
          <w:b/>
          <w:bCs/>
        </w:rPr>
        <w:t xml:space="preserve">1.3 </w:t>
      </w:r>
      <w:r w:rsidRPr="003307A8">
        <w:rPr>
          <w:b/>
          <w:bCs/>
        </w:rPr>
        <w:t>本研究的贡献</w:t>
      </w:r>
    </w:p>
    <w:p w14:paraId="133C23BC" w14:textId="77777777" w:rsidR="003307A8" w:rsidRPr="003307A8" w:rsidRDefault="003307A8" w:rsidP="003307A8">
      <w:r w:rsidRPr="003307A8">
        <w:t>针对上述问题，本研究复现了</w:t>
      </w:r>
      <w:r w:rsidRPr="003307A8">
        <w:t xml:space="preserve"> </w:t>
      </w:r>
      <w:r w:rsidRPr="003307A8">
        <w:rPr>
          <w:i/>
          <w:iCs/>
        </w:rPr>
        <w:t xml:space="preserve">Yang </w:t>
      </w:r>
      <w:r w:rsidRPr="003307A8">
        <w:rPr>
          <w:i/>
          <w:iCs/>
        </w:rPr>
        <w:t>等人</w:t>
      </w:r>
      <w:r w:rsidRPr="003307A8">
        <w:rPr>
          <w:i/>
          <w:iCs/>
        </w:rPr>
        <w:t xml:space="preserve"> (2020)</w:t>
      </w:r>
      <w:r w:rsidRPr="003307A8">
        <w:t xml:space="preserve"> </w:t>
      </w:r>
      <w:r w:rsidRPr="003307A8">
        <w:t>提出的集成策略，并针对</w:t>
      </w:r>
      <w:r w:rsidRPr="003307A8">
        <w:t>A</w:t>
      </w:r>
      <w:r w:rsidRPr="003307A8">
        <w:t>股市场进行了深度的本土化适配。本研究的主要贡献如下：</w:t>
      </w:r>
    </w:p>
    <w:p w14:paraId="0533B0ED" w14:textId="77777777" w:rsidR="003307A8" w:rsidRPr="003307A8" w:rsidRDefault="003307A8" w:rsidP="003307A8">
      <w:pPr>
        <w:numPr>
          <w:ilvl w:val="0"/>
          <w:numId w:val="8"/>
        </w:numPr>
      </w:pPr>
      <w:r w:rsidRPr="003307A8">
        <w:rPr>
          <w:b/>
          <w:bCs/>
        </w:rPr>
        <w:t>环境适配与数据工程</w:t>
      </w:r>
      <w:r w:rsidRPr="003307A8">
        <w:t>：构建了符合</w:t>
      </w:r>
      <w:r w:rsidRPr="003307A8">
        <w:t>A</w:t>
      </w:r>
      <w:r w:rsidRPr="003307A8">
        <w:t>股交易规则的</w:t>
      </w:r>
      <w:r w:rsidRPr="003307A8">
        <w:t xml:space="preserve"> OpenAI Gym </w:t>
      </w:r>
      <w:r w:rsidRPr="003307A8">
        <w:t>交互环境。我们在状态转移逻辑中严格实现了</w:t>
      </w:r>
      <w:r w:rsidRPr="003307A8">
        <w:t xml:space="preserve"> T+1 </w:t>
      </w:r>
      <w:r w:rsidRPr="003307A8">
        <w:t>锁仓机制，并根据</w:t>
      </w:r>
      <w:r w:rsidRPr="003307A8">
        <w:t>A</w:t>
      </w:r>
      <w:r w:rsidRPr="003307A8">
        <w:t>股费率重新设计了交易成本计算模型。同时，引入</w:t>
      </w:r>
      <w:r w:rsidRPr="003307A8">
        <w:rPr>
          <w:b/>
          <w:bCs/>
        </w:rPr>
        <w:t>湍流指数</w:t>
      </w:r>
      <w:r w:rsidRPr="003307A8">
        <w:rPr>
          <w:b/>
          <w:bCs/>
        </w:rPr>
        <w:t xml:space="preserve"> (Turbulence Index)</w:t>
      </w:r>
      <w:r w:rsidRPr="003307A8">
        <w:t xml:space="preserve"> </w:t>
      </w:r>
      <w:r w:rsidRPr="003307A8">
        <w:t>作为风控因子，以应对系统性风险。</w:t>
      </w:r>
    </w:p>
    <w:p w14:paraId="2B172E78" w14:textId="77777777" w:rsidR="003307A8" w:rsidRPr="003307A8" w:rsidRDefault="003307A8" w:rsidP="003307A8">
      <w:pPr>
        <w:numPr>
          <w:ilvl w:val="0"/>
          <w:numId w:val="8"/>
        </w:numPr>
      </w:pPr>
      <w:r w:rsidRPr="003307A8">
        <w:rPr>
          <w:b/>
          <w:bCs/>
        </w:rPr>
        <w:t>多算法实证研究</w:t>
      </w:r>
      <w:r w:rsidRPr="003307A8">
        <w:t>：在包含完整牛熊周期的历史数据上（</w:t>
      </w:r>
      <w:r w:rsidRPr="003307A8">
        <w:t>2018-2023</w:t>
      </w:r>
      <w:r w:rsidRPr="003307A8">
        <w:t>），训练了</w:t>
      </w:r>
      <w:r w:rsidRPr="003307A8">
        <w:t xml:space="preserve"> PPO</w:t>
      </w:r>
      <w:r w:rsidRPr="003307A8">
        <w:t>、</w:t>
      </w:r>
      <w:r w:rsidRPr="003307A8">
        <w:t xml:space="preserve">A2C </w:t>
      </w:r>
      <w:r w:rsidRPr="003307A8">
        <w:t>和</w:t>
      </w:r>
      <w:r w:rsidRPr="003307A8">
        <w:t xml:space="preserve"> DDPG </w:t>
      </w:r>
      <w:r w:rsidRPr="003307A8">
        <w:t>三种主流</w:t>
      </w:r>
      <w:r w:rsidRPr="003307A8">
        <w:t xml:space="preserve"> DRL </w:t>
      </w:r>
      <w:r w:rsidRPr="003307A8">
        <w:t>智能体，并对比了它们在样本外测试集（</w:t>
      </w:r>
      <w:r w:rsidRPr="003307A8">
        <w:t>2024-2025</w:t>
      </w:r>
      <w:r w:rsidRPr="003307A8">
        <w:t>）上的异质性表现。</w:t>
      </w:r>
    </w:p>
    <w:p w14:paraId="335E782D" w14:textId="77777777" w:rsidR="003307A8" w:rsidRPr="003307A8" w:rsidRDefault="003307A8" w:rsidP="003307A8">
      <w:pPr>
        <w:numPr>
          <w:ilvl w:val="0"/>
          <w:numId w:val="8"/>
        </w:numPr>
      </w:pPr>
      <w:r w:rsidRPr="003307A8">
        <w:rPr>
          <w:b/>
          <w:bCs/>
        </w:rPr>
        <w:t>动态集成策略的验证</w:t>
      </w:r>
      <w:r w:rsidRPr="003307A8">
        <w:t>：实现了一种基于滚动窗口（</w:t>
      </w:r>
      <w:r w:rsidRPr="003307A8">
        <w:t>Rolling Window</w:t>
      </w:r>
      <w:r w:rsidRPr="003307A8">
        <w:t>）的集成交易策略。该策略每季度评估一次各模型的夏普比率，并自动将交易权限移交给近期表现最优的智能体。实验证明，该策略能够有效融合不同算法的优势，在保证收益的同时显著提升了策略的适应性与鲁棒性。</w:t>
      </w:r>
    </w:p>
    <w:p w14:paraId="297D5767" w14:textId="651CEF9E" w:rsidR="003307A8" w:rsidRPr="003307A8" w:rsidRDefault="003307A8" w:rsidP="003307A8">
      <w:pPr>
        <w:rPr>
          <w:rFonts w:hint="eastAsia"/>
        </w:rPr>
      </w:pPr>
    </w:p>
    <w:p w14:paraId="488EC9BB" w14:textId="77777777" w:rsidR="003307A8" w:rsidRPr="003307A8" w:rsidRDefault="003307A8" w:rsidP="003307A8">
      <w:pPr>
        <w:pStyle w:val="1"/>
      </w:pPr>
      <w:r w:rsidRPr="003307A8">
        <w:t xml:space="preserve">2. </w:t>
      </w:r>
      <w:r w:rsidRPr="003307A8">
        <w:t>数据与特征工程</w:t>
      </w:r>
      <w:r w:rsidRPr="003307A8">
        <w:t xml:space="preserve"> (Data and Feature Engineering)</w:t>
      </w:r>
    </w:p>
    <w:p w14:paraId="28DDF76E" w14:textId="77777777" w:rsidR="003307A8" w:rsidRPr="003307A8" w:rsidRDefault="003307A8" w:rsidP="003307A8">
      <w:pPr>
        <w:pStyle w:val="2"/>
      </w:pPr>
      <w:r w:rsidRPr="003307A8">
        <w:t xml:space="preserve">2.1 </w:t>
      </w:r>
      <w:r w:rsidRPr="003307A8">
        <w:t>数据获取与清洗</w:t>
      </w:r>
    </w:p>
    <w:p w14:paraId="666A1166" w14:textId="7951E72B" w:rsidR="003307A8" w:rsidRPr="003307A8" w:rsidRDefault="003307A8" w:rsidP="003307A8">
      <w:pPr>
        <w:ind w:firstLine="420"/>
      </w:pPr>
      <w:r w:rsidRPr="003307A8">
        <w:t>本研究的数据来源于</w:t>
      </w:r>
      <w:r w:rsidRPr="003307A8">
        <w:t xml:space="preserve"> Wind </w:t>
      </w:r>
      <w:r w:rsidRPr="003307A8">
        <w:t>金融终端（</w:t>
      </w:r>
      <w:r w:rsidRPr="003307A8">
        <w:t>Wind Quant API</w:t>
      </w:r>
      <w:r w:rsidRPr="003307A8">
        <w:t>），选取</w:t>
      </w:r>
      <w:r w:rsidRPr="003307A8">
        <w:rPr>
          <w:b/>
          <w:bCs/>
        </w:rPr>
        <w:t>上证</w:t>
      </w:r>
      <w:r w:rsidRPr="003307A8">
        <w:rPr>
          <w:b/>
          <w:bCs/>
        </w:rPr>
        <w:t>50</w:t>
      </w:r>
      <w:r w:rsidRPr="003307A8">
        <w:rPr>
          <w:b/>
          <w:bCs/>
        </w:rPr>
        <w:t>指数</w:t>
      </w:r>
      <w:r w:rsidRPr="003307A8">
        <w:rPr>
          <w:b/>
          <w:bCs/>
        </w:rPr>
        <w:t xml:space="preserve"> (000016.SH)</w:t>
      </w:r>
      <w:r w:rsidRPr="003307A8">
        <w:t xml:space="preserve"> </w:t>
      </w:r>
      <w:r w:rsidRPr="003307A8">
        <w:t>的成分股作为股票池。上证</w:t>
      </w:r>
      <w:r w:rsidRPr="003307A8">
        <w:t>50</w:t>
      </w:r>
      <w:r w:rsidRPr="003307A8">
        <w:t>指数由上海证券交易所中规模大、</w:t>
      </w:r>
      <w:r w:rsidRPr="003307A8">
        <w:lastRenderedPageBreak/>
        <w:t>流动性好的最具代表性的</w:t>
      </w:r>
      <w:r w:rsidRPr="003307A8">
        <w:t>50</w:t>
      </w:r>
      <w:r w:rsidRPr="003307A8">
        <w:t>只股票组成，这与原论文中选用道琼斯</w:t>
      </w:r>
      <w:r w:rsidRPr="003307A8">
        <w:t>30</w:t>
      </w:r>
      <w:r w:rsidRPr="003307A8">
        <w:t>指数作为蓝筹股代表的逻辑保持一致。</w:t>
      </w:r>
    </w:p>
    <w:p w14:paraId="0E2A591D" w14:textId="626F23EB" w:rsidR="003307A8" w:rsidRPr="003307A8" w:rsidRDefault="003307A8" w:rsidP="003307A8">
      <w:pPr>
        <w:ind w:firstLine="420"/>
      </w:pPr>
      <w:r w:rsidRPr="003307A8">
        <w:t>为了涵盖中国</w:t>
      </w:r>
      <w:r w:rsidRPr="003307A8">
        <w:t>A</w:t>
      </w:r>
      <w:r w:rsidRPr="003307A8">
        <w:t>股市场的完整牛熊周期并验证模型的泛化能力，我们将数据集划分为训练集和测试集。其中，</w:t>
      </w:r>
      <w:r w:rsidRPr="003307A8">
        <w:rPr>
          <w:b/>
          <w:bCs/>
        </w:rPr>
        <w:t>训练集</w:t>
      </w:r>
      <w:r w:rsidRPr="003307A8">
        <w:t>的时间跨度为</w:t>
      </w:r>
      <w:r w:rsidRPr="003307A8">
        <w:t xml:space="preserve"> 2018</w:t>
      </w:r>
      <w:r w:rsidRPr="003307A8">
        <w:t>年</w:t>
      </w:r>
      <w:r w:rsidRPr="003307A8">
        <w:t>1</w:t>
      </w:r>
      <w:r w:rsidRPr="003307A8">
        <w:t>月</w:t>
      </w:r>
      <w:r w:rsidRPr="003307A8">
        <w:t>1</w:t>
      </w:r>
      <w:r w:rsidRPr="003307A8">
        <w:t>日至</w:t>
      </w:r>
      <w:r w:rsidRPr="003307A8">
        <w:t>2023</w:t>
      </w:r>
      <w:r w:rsidRPr="003307A8">
        <w:t>年</w:t>
      </w:r>
      <w:r w:rsidRPr="003307A8">
        <w:t>12</w:t>
      </w:r>
      <w:r w:rsidRPr="003307A8">
        <w:t>月</w:t>
      </w:r>
      <w:r w:rsidRPr="003307A8">
        <w:t>31</w:t>
      </w:r>
      <w:r w:rsidRPr="003307A8">
        <w:t>日，共计</w:t>
      </w:r>
      <w:r w:rsidRPr="003307A8">
        <w:t>6</w:t>
      </w:r>
      <w:r w:rsidRPr="003307A8">
        <w:t>年；</w:t>
      </w:r>
      <w:r w:rsidRPr="003307A8">
        <w:rPr>
          <w:b/>
          <w:bCs/>
        </w:rPr>
        <w:t>测试集</w:t>
      </w:r>
      <w:r w:rsidRPr="003307A8">
        <w:t>（回测区间）为</w:t>
      </w:r>
      <w:r w:rsidRPr="003307A8">
        <w:t xml:space="preserve"> 2024</w:t>
      </w:r>
      <w:r w:rsidRPr="003307A8">
        <w:t>年</w:t>
      </w:r>
      <w:r w:rsidRPr="003307A8">
        <w:t>1</w:t>
      </w:r>
      <w:r w:rsidRPr="003307A8">
        <w:t>月</w:t>
      </w:r>
      <w:r w:rsidRPr="003307A8">
        <w:t>1</w:t>
      </w:r>
      <w:r w:rsidRPr="003307A8">
        <w:t>日至</w:t>
      </w:r>
      <w:r w:rsidRPr="003307A8">
        <w:t>2025</w:t>
      </w:r>
      <w:r w:rsidRPr="003307A8">
        <w:t>年</w:t>
      </w:r>
      <w:r w:rsidRPr="003307A8">
        <w:t>12</w:t>
      </w:r>
      <w:r w:rsidRPr="003307A8">
        <w:t>月</w:t>
      </w:r>
      <w:r w:rsidRPr="003307A8">
        <w:t>19</w:t>
      </w:r>
      <w:r w:rsidRPr="003307A8">
        <w:t>日。考虑到股票分红、配股等行为会导致价格序列出现非市场因素的跳空，本研究统一采用后复权（</w:t>
      </w:r>
      <w:r w:rsidRPr="003307A8">
        <w:t>Backward Adjusted</w:t>
      </w:r>
      <w:r w:rsidRPr="003307A8">
        <w:t>）价格进行计算，以保持价格数据的连续性。</w:t>
      </w:r>
    </w:p>
    <w:p w14:paraId="09A965F6" w14:textId="77777777" w:rsidR="003307A8" w:rsidRPr="003307A8" w:rsidRDefault="003307A8" w:rsidP="003307A8">
      <w:pPr>
        <w:ind w:firstLine="420"/>
      </w:pPr>
      <w:r w:rsidRPr="003307A8">
        <w:t>鉴于</w:t>
      </w:r>
      <w:r w:rsidRPr="003307A8">
        <w:t>A</w:t>
      </w:r>
      <w:r w:rsidRPr="003307A8">
        <w:t>股市场存在停牌机制，不同股票在同一时间段内的交易天数可能不一致，这会导致强化学习环境中的状态矩阵维度发生异变。为解决这一问题，本研究实施了严格的数据预处理流程。首先，我们基于流动性指标对股票池进行筛选，剔除在采样区间内有效交易天数低于</w:t>
      </w:r>
      <w:r w:rsidRPr="003307A8">
        <w:t>90%</w:t>
      </w:r>
      <w:r w:rsidRPr="003307A8">
        <w:t>的个股，最终保留了约</w:t>
      </w:r>
      <w:r w:rsidRPr="003307A8">
        <w:t>40</w:t>
      </w:r>
      <w:r w:rsidRPr="003307A8">
        <w:t>只具有高流动性的标的。其次，针对剩余股票中的短期停牌缺失值，我们构建了标准化的</w:t>
      </w:r>
      <w:r w:rsidRPr="003307A8">
        <w:t>“</w:t>
      </w:r>
      <w:r w:rsidRPr="003307A8">
        <w:t>日期</w:t>
      </w:r>
      <w:r w:rsidRPr="003307A8">
        <w:t>-</w:t>
      </w:r>
      <w:r w:rsidRPr="003307A8">
        <w:t>股票</w:t>
      </w:r>
      <w:r w:rsidRPr="003307A8">
        <w:t>”</w:t>
      </w:r>
      <w:r w:rsidRPr="003307A8">
        <w:t>索引矩阵，并采用前向填充（</w:t>
      </w:r>
      <w:r w:rsidRPr="003307A8">
        <w:t>Forward Fill</w:t>
      </w:r>
      <w:r w:rsidRPr="003307A8">
        <w:t>）策略进行补全，即假设停牌期间的各项价格指标维持在停牌前一交易日的水平，并将成交量设为零。这一处理确保了输入模型的特征矩阵在时间维度上的严格对齐。</w:t>
      </w:r>
    </w:p>
    <w:p w14:paraId="42B9393A" w14:textId="77777777" w:rsidR="003307A8" w:rsidRPr="003307A8" w:rsidRDefault="003307A8" w:rsidP="003307A8">
      <w:pPr>
        <w:pStyle w:val="2"/>
      </w:pPr>
      <w:r w:rsidRPr="003307A8">
        <w:t xml:space="preserve">2.2 </w:t>
      </w:r>
      <w:r w:rsidRPr="003307A8">
        <w:t>特征工程与技术指标</w:t>
      </w:r>
    </w:p>
    <w:p w14:paraId="56D53C03" w14:textId="77777777" w:rsidR="003307A8" w:rsidRPr="003307A8" w:rsidRDefault="003307A8" w:rsidP="003307A8">
      <w:r w:rsidRPr="003307A8">
        <w:t>为了使智能体能够充分感知市场状态，本研究构建了高维状态空间。除了基础的开盘价、最高价、最低价、收盘价和成交量（</w:t>
      </w:r>
      <w:r w:rsidRPr="003307A8">
        <w:t>OHLCV</w:t>
      </w:r>
      <w:r w:rsidRPr="003307A8">
        <w:t>）数据外，我们还引入了四类核心技术指标以增强模型对市场趋势的捕捉能力：</w:t>
      </w:r>
      <w:r w:rsidRPr="003307A8">
        <w:rPr>
          <w:b/>
          <w:bCs/>
        </w:rPr>
        <w:t>平滑异同移动平均线</w:t>
      </w:r>
      <w:r w:rsidRPr="003307A8">
        <w:rPr>
          <w:b/>
          <w:bCs/>
        </w:rPr>
        <w:t xml:space="preserve"> (MACD)</w:t>
      </w:r>
      <w:r w:rsidRPr="003307A8">
        <w:t xml:space="preserve"> </w:t>
      </w:r>
      <w:r w:rsidRPr="003307A8">
        <w:t>用于判断中期价格趋势；</w:t>
      </w:r>
      <w:r w:rsidRPr="003307A8">
        <w:rPr>
          <w:b/>
          <w:bCs/>
        </w:rPr>
        <w:t>相对强弱指数</w:t>
      </w:r>
      <w:r w:rsidRPr="003307A8">
        <w:rPr>
          <w:b/>
          <w:bCs/>
        </w:rPr>
        <w:t xml:space="preserve"> (RSI)</w:t>
      </w:r>
      <w:r w:rsidRPr="003307A8">
        <w:t xml:space="preserve"> </w:t>
      </w:r>
      <w:r w:rsidRPr="003307A8">
        <w:t>用于识别超买或超卖信号；</w:t>
      </w:r>
      <w:r w:rsidRPr="003307A8">
        <w:rPr>
          <w:b/>
          <w:bCs/>
        </w:rPr>
        <w:t>商品通道指数</w:t>
      </w:r>
      <w:r w:rsidRPr="003307A8">
        <w:rPr>
          <w:b/>
          <w:bCs/>
        </w:rPr>
        <w:t xml:space="preserve"> (CCI)</w:t>
      </w:r>
      <w:r w:rsidRPr="003307A8">
        <w:t xml:space="preserve"> </w:t>
      </w:r>
      <w:r w:rsidRPr="003307A8">
        <w:t>用于捕捉极端行情；以及</w:t>
      </w:r>
      <w:r w:rsidRPr="003307A8">
        <w:rPr>
          <w:b/>
          <w:bCs/>
        </w:rPr>
        <w:t>平均趋向指数</w:t>
      </w:r>
      <w:r w:rsidRPr="003307A8">
        <w:rPr>
          <w:b/>
          <w:bCs/>
        </w:rPr>
        <w:t xml:space="preserve"> (ADX)</w:t>
      </w:r>
      <w:r w:rsidRPr="003307A8">
        <w:t xml:space="preserve"> </w:t>
      </w:r>
      <w:r w:rsidRPr="003307A8">
        <w:t>用于衡量趋势强度。</w:t>
      </w:r>
    </w:p>
    <w:p w14:paraId="4D6C260A" w14:textId="77777777" w:rsidR="003307A8" w:rsidRPr="003307A8" w:rsidRDefault="003307A8" w:rsidP="003307A8">
      <w:r w:rsidRPr="003307A8">
        <w:t>此外，为了有效应对金融市场的系统性风险，本研究复现了原论文提出的湍流指数</w:t>
      </w:r>
      <w:r w:rsidRPr="003307A8">
        <w:t xml:space="preserve"> (Turbulence Index)</w:t>
      </w:r>
      <w:r w:rsidRPr="003307A8">
        <w:t>。该指数基于资产收益率的马氏距离（</w:t>
      </w:r>
      <w:r w:rsidRPr="003307A8">
        <w:t>Mahalanobis Distance</w:t>
      </w:r>
      <w:r w:rsidRPr="003307A8">
        <w:t>）计算得出，其数学表达为：</w:t>
      </w:r>
    </w:p>
    <w:p w14:paraId="48FC3D80" w14:textId="77777777" w:rsidR="003307A8" w:rsidRPr="003307A8" w:rsidRDefault="003307A8" w:rsidP="003307A8">
      <w:r w:rsidRPr="003307A8">
        <w:t>$$turbulence_t = (\mathbf{y}_t - \boldsymbol{\mu}) \boldsymbol{\Sigma}^{-1} (\mathbf{y}_t - \boldsymbol{\mu})^\top$$</w:t>
      </w:r>
    </w:p>
    <w:p w14:paraId="42187BBC" w14:textId="650B6E76" w:rsidR="003307A8" w:rsidRPr="003307A8" w:rsidRDefault="003307A8" w:rsidP="003307A8">
      <w:pPr>
        <w:rPr>
          <w:rFonts w:hint="eastAsia"/>
        </w:rPr>
      </w:pPr>
      <w:r w:rsidRPr="003307A8">
        <w:t>其中，</w:t>
      </w:r>
      <w:r w:rsidRPr="003307A8">
        <w:t xml:space="preserve">$\mathbf{y}_t \in \mathbb{R}^D$ </w:t>
      </w:r>
      <w:r w:rsidRPr="003307A8">
        <w:t>表示</w:t>
      </w:r>
      <w:r w:rsidRPr="003307A8">
        <w:t xml:space="preserve"> $t$ </w:t>
      </w:r>
      <w:r w:rsidRPr="003307A8">
        <w:t>时刻</w:t>
      </w:r>
      <w:r w:rsidRPr="003307A8">
        <w:t xml:space="preserve"> $D$ </w:t>
      </w:r>
      <w:r w:rsidRPr="003307A8">
        <w:t>只股票的收益率向</w:t>
      </w:r>
      <w:r w:rsidRPr="003307A8">
        <w:lastRenderedPageBreak/>
        <w:t>量，</w:t>
      </w:r>
      <w:r w:rsidRPr="003307A8">
        <w:t xml:space="preserve">$\boldsymbol{\mu}$ </w:t>
      </w:r>
      <w:r w:rsidRPr="003307A8">
        <w:t>和</w:t>
      </w:r>
      <w:r w:rsidRPr="003307A8">
        <w:t xml:space="preserve"> $\boldsymbol{\Sigma}$ </w:t>
      </w:r>
      <w:r w:rsidRPr="003307A8">
        <w:t>分别表示基于历史滚动窗口（本研究设定为</w:t>
      </w:r>
      <w:r w:rsidRPr="003307A8">
        <w:t>252</w:t>
      </w:r>
      <w:r w:rsidRPr="003307A8">
        <w:t>个交易日）计算的平均收益率向量和协方差矩阵。当该指数超过特定阈值时，表明市场处于极端不稳定的湍流状态，模型将据此触发避险机制。</w:t>
      </w:r>
    </w:p>
    <w:p w14:paraId="404FA494" w14:textId="77777777" w:rsidR="003307A8" w:rsidRPr="003307A8" w:rsidRDefault="003307A8" w:rsidP="003307A8">
      <w:pPr>
        <w:rPr>
          <w:b/>
          <w:bCs/>
        </w:rPr>
      </w:pPr>
      <w:r w:rsidRPr="003307A8">
        <w:rPr>
          <w:b/>
          <w:bCs/>
        </w:rPr>
        <w:t xml:space="preserve">3. </w:t>
      </w:r>
      <w:r w:rsidRPr="003307A8">
        <w:rPr>
          <w:b/>
          <w:bCs/>
        </w:rPr>
        <w:t>方法论</w:t>
      </w:r>
      <w:r w:rsidRPr="003307A8">
        <w:rPr>
          <w:b/>
          <w:bCs/>
        </w:rPr>
        <w:t xml:space="preserve"> (Methodology)</w:t>
      </w:r>
    </w:p>
    <w:p w14:paraId="4A698DF8" w14:textId="77777777" w:rsidR="003307A8" w:rsidRPr="003307A8" w:rsidRDefault="003307A8" w:rsidP="003307A8">
      <w:r w:rsidRPr="003307A8">
        <w:t>本节将详细阐述基于马尔可夫决策过程（</w:t>
      </w:r>
      <w:r w:rsidRPr="003307A8">
        <w:t>MDP</w:t>
      </w:r>
      <w:r w:rsidRPr="003307A8">
        <w:t>）的股票交易环境构建，以及针对中国</w:t>
      </w:r>
      <w:r w:rsidRPr="003307A8">
        <w:t>A</w:t>
      </w:r>
      <w:r w:rsidRPr="003307A8">
        <w:t>股市场特性的环境适配策略。</w:t>
      </w:r>
    </w:p>
    <w:p w14:paraId="4E783284" w14:textId="77777777" w:rsidR="003307A8" w:rsidRPr="003307A8" w:rsidRDefault="003307A8" w:rsidP="003307A8">
      <w:pPr>
        <w:rPr>
          <w:b/>
          <w:bCs/>
        </w:rPr>
      </w:pPr>
      <w:r w:rsidRPr="003307A8">
        <w:rPr>
          <w:b/>
          <w:bCs/>
        </w:rPr>
        <w:t xml:space="preserve">3.1 </w:t>
      </w:r>
      <w:r w:rsidRPr="003307A8">
        <w:rPr>
          <w:b/>
          <w:bCs/>
        </w:rPr>
        <w:t>交易环境构建</w:t>
      </w:r>
    </w:p>
    <w:p w14:paraId="7436E078" w14:textId="77777777" w:rsidR="003307A8" w:rsidRPr="003307A8" w:rsidRDefault="003307A8" w:rsidP="003307A8">
      <w:r w:rsidRPr="003307A8">
        <w:t>我们将股票交易过程建模为一个离散时间的马尔可夫决策过程。智能体（</w:t>
      </w:r>
      <w:r w:rsidRPr="003307A8">
        <w:t>Agent</w:t>
      </w:r>
      <w:r w:rsidRPr="003307A8">
        <w:t>）与环境（</w:t>
      </w:r>
      <w:r w:rsidRPr="003307A8">
        <w:t>Environment</w:t>
      </w:r>
      <w:r w:rsidRPr="003307A8">
        <w:t>）进行交互，在每个时间步</w:t>
      </w:r>
      <w:r w:rsidRPr="003307A8">
        <w:t xml:space="preserve"> $t$</w:t>
      </w:r>
      <w:r w:rsidRPr="003307A8">
        <w:t>，智能体根据当前观察到的状态</w:t>
      </w:r>
      <w:r w:rsidRPr="003307A8">
        <w:t xml:space="preserve"> $s_t$</w:t>
      </w:r>
      <w:r w:rsidRPr="003307A8">
        <w:t>，采取动作</w:t>
      </w:r>
      <w:r w:rsidRPr="003307A8">
        <w:t xml:space="preserve"> $a_t$</w:t>
      </w:r>
      <w:r w:rsidRPr="003307A8">
        <w:t>，环境根据市场数据反馈奖励</w:t>
      </w:r>
      <w:r w:rsidRPr="003307A8">
        <w:t xml:space="preserve"> $r_t$ </w:t>
      </w:r>
      <w:r w:rsidRPr="003307A8">
        <w:t>并转移到下一个状态</w:t>
      </w:r>
      <w:r w:rsidRPr="003307A8">
        <w:t xml:space="preserve"> $s_{t+1}$</w:t>
      </w:r>
      <w:r w:rsidRPr="003307A8">
        <w:t>。</w:t>
      </w:r>
    </w:p>
    <w:p w14:paraId="784E58B9" w14:textId="77777777" w:rsidR="003307A8" w:rsidRPr="003307A8" w:rsidRDefault="003307A8" w:rsidP="003307A8">
      <w:r w:rsidRPr="003307A8">
        <w:t>状态空间</w:t>
      </w:r>
      <w:r w:rsidRPr="003307A8">
        <w:t xml:space="preserve"> (State Space) $\mathcal{S}$</w:t>
      </w:r>
      <w:r w:rsidRPr="003307A8">
        <w:t>：状态向量</w:t>
      </w:r>
      <w:r w:rsidRPr="003307A8">
        <w:t xml:space="preserve"> $s_t$ </w:t>
      </w:r>
      <w:r w:rsidRPr="003307A8">
        <w:t>是一个</w:t>
      </w:r>
      <w:r w:rsidRPr="003307A8">
        <w:t xml:space="preserve"> 181 </w:t>
      </w:r>
      <w:r w:rsidRPr="003307A8">
        <w:t>维（假设股票数量</w:t>
      </w:r>
      <w:r w:rsidRPr="003307A8">
        <w:t xml:space="preserve"> $D=30$</w:t>
      </w:r>
      <w:r w:rsidRPr="003307A8">
        <w:t>）的综合向量，旨在全面描述账户状况与市场环境。具体由四部分组成：</w:t>
      </w:r>
    </w:p>
    <w:p w14:paraId="70AE983B" w14:textId="77777777" w:rsidR="003307A8" w:rsidRPr="003307A8" w:rsidRDefault="003307A8" w:rsidP="003307A8">
      <w:r w:rsidRPr="003307A8">
        <w:t>$$s_t = [b_t, \mathbf{h}_t, \mathbf{p}_t, \mathbf{f}_t]$$</w:t>
      </w:r>
    </w:p>
    <w:p w14:paraId="75130658" w14:textId="77777777" w:rsidR="003307A8" w:rsidRPr="003307A8" w:rsidRDefault="003307A8" w:rsidP="003307A8">
      <w:r w:rsidRPr="003307A8">
        <w:t>其中，</w:t>
      </w:r>
      <w:r w:rsidRPr="003307A8">
        <w:t xml:space="preserve">$b_t$ </w:t>
      </w:r>
      <w:r w:rsidRPr="003307A8">
        <w:t>代表当前账户的可用资金余额；</w:t>
      </w:r>
      <w:r w:rsidRPr="003307A8">
        <w:t xml:space="preserve">$\mathbf{h}_t \in \mathbb{R}^D$ </w:t>
      </w:r>
      <w:r w:rsidRPr="003307A8">
        <w:t>为持仓向量，表示每只股票的持有股数；</w:t>
      </w:r>
      <w:r w:rsidRPr="003307A8">
        <w:t xml:space="preserve">$\mathbf{p}_t \in \mathbb{R}^D$ </w:t>
      </w:r>
      <w:r w:rsidRPr="003307A8">
        <w:t>为当日收盘价向量；</w:t>
      </w:r>
      <w:r w:rsidRPr="003307A8">
        <w:t xml:space="preserve">$\mathbf{f}_t$ </w:t>
      </w:r>
      <w:r w:rsidRPr="003307A8">
        <w:t>包含了上述提及的各类技术指标及湍流指数。</w:t>
      </w:r>
    </w:p>
    <w:p w14:paraId="75E741FF" w14:textId="77777777" w:rsidR="003307A8" w:rsidRPr="003307A8" w:rsidRDefault="003307A8" w:rsidP="003307A8">
      <w:r w:rsidRPr="003307A8">
        <w:rPr>
          <w:b/>
          <w:bCs/>
        </w:rPr>
        <w:t>动作空间</w:t>
      </w:r>
      <w:r w:rsidRPr="003307A8">
        <w:rPr>
          <w:b/>
          <w:bCs/>
        </w:rPr>
        <w:t xml:space="preserve"> (Action Space)</w:t>
      </w:r>
      <w:r w:rsidRPr="003307A8">
        <w:t xml:space="preserve"> $\mathcal{A}$</w:t>
      </w:r>
      <w:r w:rsidRPr="003307A8">
        <w:t>：考虑到股票交易的连续性，我们将动作空间定义为</w:t>
      </w:r>
      <w:r w:rsidRPr="003307A8">
        <w:t xml:space="preserve"> $[-1, 1]^D$ </w:t>
      </w:r>
      <w:r w:rsidRPr="003307A8">
        <w:t>的连续向量。对于第</w:t>
      </w:r>
      <w:r w:rsidRPr="003307A8">
        <w:t xml:space="preserve"> $d$ </w:t>
      </w:r>
      <w:r w:rsidRPr="003307A8">
        <w:t>只股票，动作值</w:t>
      </w:r>
      <w:r w:rsidRPr="003307A8">
        <w:t xml:space="preserve"> $a_{t,d} \in [-1, 1]$ </w:t>
      </w:r>
      <w:r w:rsidRPr="003307A8">
        <w:t>表示买卖的比例信号。正值表示买入，负值表示卖出，其绝对值大小对应交易量的强度。最终的交易手数将根据最大允许交易量</w:t>
      </w:r>
      <w:r w:rsidRPr="003307A8">
        <w:t xml:space="preserve"> $h_{max}$ </w:t>
      </w:r>
      <w:r w:rsidRPr="003307A8">
        <w:t>进行映射，公式为</w:t>
      </w:r>
      <w:r w:rsidRPr="003307A8">
        <w:t xml:space="preserve"> $k = a_{t,d} \times h_{max}$</w:t>
      </w:r>
      <w:r w:rsidRPr="003307A8">
        <w:t>。</w:t>
      </w:r>
    </w:p>
    <w:p w14:paraId="43DBC05C" w14:textId="77777777" w:rsidR="003307A8" w:rsidRPr="003307A8" w:rsidRDefault="003307A8" w:rsidP="003307A8">
      <w:r w:rsidRPr="003307A8">
        <w:t>奖励函数</w:t>
      </w:r>
      <w:r w:rsidRPr="003307A8">
        <w:t xml:space="preserve"> (Reward Function) $r(s_t, a_t, s_{t+1})$</w:t>
      </w:r>
      <w:r w:rsidRPr="003307A8">
        <w:t>：交易的目标是最大化投资组合的总价值。因此，我们将奖励函数定义为相邻两个时间步之间投资组合价值的变化量：</w:t>
      </w:r>
    </w:p>
    <w:p w14:paraId="606F527A" w14:textId="77777777" w:rsidR="003307A8" w:rsidRPr="003307A8" w:rsidRDefault="003307A8" w:rsidP="003307A8">
      <w:r w:rsidRPr="003307A8">
        <w:t>$$r_t = V_{t+1} - V_t$$</w:t>
      </w:r>
    </w:p>
    <w:p w14:paraId="29BBEFFB" w14:textId="77777777" w:rsidR="003307A8" w:rsidRPr="003307A8" w:rsidRDefault="003307A8" w:rsidP="003307A8">
      <w:r w:rsidRPr="003307A8">
        <w:t>其中，投资组合总价值</w:t>
      </w:r>
      <w:r w:rsidRPr="003307A8">
        <w:t xml:space="preserve"> $V_t = b_t + \sum_{d=1}^D (p_{t,d} \times h_{t,d})$</w:t>
      </w:r>
      <w:r w:rsidRPr="003307A8">
        <w:t>。</w:t>
      </w:r>
    </w:p>
    <w:p w14:paraId="29F24BF9" w14:textId="77777777" w:rsidR="003307A8" w:rsidRPr="003307A8" w:rsidRDefault="003307A8" w:rsidP="003307A8">
      <w:pPr>
        <w:rPr>
          <w:b/>
          <w:bCs/>
        </w:rPr>
      </w:pPr>
      <w:r w:rsidRPr="003307A8">
        <w:rPr>
          <w:b/>
          <w:bCs/>
        </w:rPr>
        <w:lastRenderedPageBreak/>
        <w:t>3.2 A</w:t>
      </w:r>
      <w:r w:rsidRPr="003307A8">
        <w:rPr>
          <w:b/>
          <w:bCs/>
        </w:rPr>
        <w:t>股市场特性的环境适配</w:t>
      </w:r>
    </w:p>
    <w:p w14:paraId="4F59567D" w14:textId="77777777" w:rsidR="003307A8" w:rsidRPr="003307A8" w:rsidRDefault="003307A8" w:rsidP="003307A8">
      <w:r w:rsidRPr="003307A8">
        <w:t>与原论文所基于的美股市场不同，中国</w:t>
      </w:r>
      <w:r w:rsidRPr="003307A8">
        <w:t>A</w:t>
      </w:r>
      <w:r w:rsidRPr="003307A8">
        <w:t>股市场具有独特的交易规则。为了保证策略的可落地性，我们在环境交互逻辑中通过</w:t>
      </w:r>
      <w:r w:rsidRPr="003307A8">
        <w:t xml:space="preserve"> StockTradingEnv </w:t>
      </w:r>
      <w:r w:rsidRPr="003307A8">
        <w:t>类实现了以下本土化适配：</w:t>
      </w:r>
    </w:p>
    <w:p w14:paraId="3157DABE" w14:textId="77777777" w:rsidR="003307A8" w:rsidRPr="003307A8" w:rsidRDefault="003307A8" w:rsidP="003307A8">
      <w:r w:rsidRPr="003307A8">
        <w:t>首先，</w:t>
      </w:r>
      <w:r w:rsidRPr="003307A8">
        <w:rPr>
          <w:b/>
          <w:bCs/>
        </w:rPr>
        <w:t xml:space="preserve">T+1 </w:t>
      </w:r>
      <w:r w:rsidRPr="003307A8">
        <w:rPr>
          <w:b/>
          <w:bCs/>
        </w:rPr>
        <w:t>交易制度</w:t>
      </w:r>
      <w:r w:rsidRPr="003307A8">
        <w:t>。美股允许</w:t>
      </w:r>
      <w:r w:rsidRPr="003307A8">
        <w:t xml:space="preserve"> T+0 </w:t>
      </w:r>
      <w:r w:rsidRPr="003307A8">
        <w:t>回转交易，而</w:t>
      </w:r>
      <w:r w:rsidRPr="003307A8">
        <w:t>A</w:t>
      </w:r>
      <w:r w:rsidRPr="003307A8">
        <w:t>股当日买入的股票次日方可卖出。为此，我们在环境内部维护了</w:t>
      </w:r>
      <w:r w:rsidRPr="003307A8">
        <w:t>“</w:t>
      </w:r>
      <w:r w:rsidRPr="003307A8">
        <w:t>可用持仓</w:t>
      </w:r>
      <w:r w:rsidRPr="003307A8">
        <w:t>”</w:t>
      </w:r>
      <w:r w:rsidRPr="003307A8">
        <w:t>与</w:t>
      </w:r>
      <w:r w:rsidRPr="003307A8">
        <w:t>“</w:t>
      </w:r>
      <w:r w:rsidRPr="003307A8">
        <w:t>冻结持仓</w:t>
      </w:r>
      <w:r w:rsidRPr="003307A8">
        <w:t>”</w:t>
      </w:r>
      <w:r w:rsidRPr="003307A8">
        <w:t>两个状态变量，确保智能体无法卖出当日新买入的股份。</w:t>
      </w:r>
    </w:p>
    <w:p w14:paraId="126F82FE" w14:textId="77777777" w:rsidR="003307A8" w:rsidRPr="003307A8" w:rsidRDefault="003307A8" w:rsidP="003307A8">
      <w:r w:rsidRPr="003307A8">
        <w:t>其次，</w:t>
      </w:r>
      <w:r w:rsidRPr="003307A8">
        <w:rPr>
          <w:b/>
          <w:bCs/>
        </w:rPr>
        <w:t>交易成本结构</w:t>
      </w:r>
      <w:r w:rsidRPr="003307A8">
        <w:t>。我们根据</w:t>
      </w:r>
      <w:r w:rsidRPr="003307A8">
        <w:t>A</w:t>
      </w:r>
      <w:r w:rsidRPr="003307A8">
        <w:t>股实际费率调整了交易成本计算模型。模型中设定买入时仅收取万分之三（</w:t>
      </w:r>
      <w:r w:rsidRPr="003307A8">
        <w:t>0.03%</w:t>
      </w:r>
      <w:r w:rsidRPr="003307A8">
        <w:t>）的券商佣金，而卖出时除了佣金外，还需额外扣除万分之五（</w:t>
      </w:r>
      <w:r w:rsidRPr="003307A8">
        <w:t>0.05%</w:t>
      </w:r>
      <w:r w:rsidRPr="003307A8">
        <w:t>）的印花税。这一非对称的成本结构对高频交易策略提出了更高的要求，迫使智能体学习更加稳健的交易频率。</w:t>
      </w:r>
    </w:p>
    <w:p w14:paraId="5B010730" w14:textId="77777777" w:rsidR="003307A8" w:rsidRPr="003307A8" w:rsidRDefault="003307A8" w:rsidP="003307A8">
      <w:r w:rsidRPr="003307A8">
        <w:t>最后，</w:t>
      </w:r>
      <w:r w:rsidRPr="003307A8">
        <w:rPr>
          <w:b/>
          <w:bCs/>
        </w:rPr>
        <w:t>最小交易单位限制</w:t>
      </w:r>
      <w:r w:rsidRPr="003307A8">
        <w:t>。</w:t>
      </w:r>
      <w:r w:rsidRPr="003307A8">
        <w:t>A</w:t>
      </w:r>
      <w:r w:rsidRPr="003307A8">
        <w:t>股买入的最小单位为</w:t>
      </w:r>
      <w:r w:rsidRPr="003307A8">
        <w:t>“</w:t>
      </w:r>
      <w:r w:rsidRPr="003307A8">
        <w:t>手</w:t>
      </w:r>
      <w:r w:rsidRPr="003307A8">
        <w:t>”</w:t>
      </w:r>
      <w:r w:rsidRPr="003307A8">
        <w:t>（</w:t>
      </w:r>
      <w:r w:rsidRPr="003307A8">
        <w:t>1</w:t>
      </w:r>
      <w:r w:rsidRPr="003307A8">
        <w:t>手</w:t>
      </w:r>
      <w:r w:rsidRPr="003307A8">
        <w:t>=100</w:t>
      </w:r>
      <w:r w:rsidRPr="003307A8">
        <w:t>股）。我们在动作执行层增加了取整逻辑，将神经网络输出的连续动作值强制映射为</w:t>
      </w:r>
      <w:r w:rsidRPr="003307A8">
        <w:t>100</w:t>
      </w:r>
      <w:r w:rsidRPr="003307A8">
        <w:t>的整数倍，避免产生碎股交易的无效指令。</w:t>
      </w:r>
    </w:p>
    <w:p w14:paraId="1DF02DB9" w14:textId="77777777" w:rsidR="003307A8" w:rsidRPr="003307A8" w:rsidRDefault="003307A8" w:rsidP="003307A8">
      <w:r w:rsidRPr="003307A8">
        <w:t>好的，这是为您撰写的</w:t>
      </w:r>
      <w:r w:rsidRPr="003307A8">
        <w:t>**“</w:t>
      </w:r>
      <w:r w:rsidRPr="003307A8">
        <w:t>算法实现</w:t>
      </w:r>
      <w:r w:rsidRPr="003307A8">
        <w:t>”**</w:t>
      </w:r>
      <w:r w:rsidRPr="003307A8">
        <w:t>部分。</w:t>
      </w:r>
    </w:p>
    <w:p w14:paraId="6367A5AB" w14:textId="52788793" w:rsidR="003307A8" w:rsidRPr="003307A8" w:rsidRDefault="003307A8" w:rsidP="003307A8">
      <w:pPr>
        <w:rPr>
          <w:rFonts w:hint="eastAsia"/>
        </w:rPr>
      </w:pPr>
      <w:r w:rsidRPr="003307A8">
        <w:t>这一部分涵盖了三种核心算法（</w:t>
      </w:r>
      <w:r w:rsidRPr="003307A8">
        <w:t>DDPG, PPO, A2C</w:t>
      </w:r>
      <w:r w:rsidRPr="003307A8">
        <w:t>）的学术性描述，以及本项目的核心</w:t>
      </w:r>
      <w:r w:rsidRPr="003307A8">
        <w:t>——**</w:t>
      </w:r>
      <w:r w:rsidRPr="003307A8">
        <w:t>集成策略（</w:t>
      </w:r>
      <w:r w:rsidRPr="003307A8">
        <w:t>Ensemble Strategy</w:t>
      </w:r>
      <w:r w:rsidRPr="003307A8">
        <w:t>）</w:t>
      </w:r>
      <w:r w:rsidRPr="003307A8">
        <w:t>**</w:t>
      </w:r>
      <w:r w:rsidRPr="003307A8">
        <w:t>的详细运作逻辑。</w:t>
      </w:r>
    </w:p>
    <w:p w14:paraId="1A4B8423" w14:textId="77777777" w:rsidR="003307A8" w:rsidRPr="003307A8" w:rsidRDefault="003307A8" w:rsidP="003307A8">
      <w:pPr>
        <w:rPr>
          <w:b/>
          <w:bCs/>
        </w:rPr>
      </w:pPr>
      <w:r w:rsidRPr="003307A8">
        <w:rPr>
          <w:b/>
          <w:bCs/>
        </w:rPr>
        <w:t xml:space="preserve">4. </w:t>
      </w:r>
      <w:r w:rsidRPr="003307A8">
        <w:rPr>
          <w:b/>
          <w:bCs/>
        </w:rPr>
        <w:t>算法实现与集成策略</w:t>
      </w:r>
      <w:r w:rsidRPr="003307A8">
        <w:rPr>
          <w:b/>
          <w:bCs/>
        </w:rPr>
        <w:t xml:space="preserve"> (Algorithm Implementation and Ensemble Strategy)</w:t>
      </w:r>
    </w:p>
    <w:p w14:paraId="5E190596" w14:textId="77777777" w:rsidR="003307A8" w:rsidRPr="003307A8" w:rsidRDefault="003307A8" w:rsidP="003307A8">
      <w:r w:rsidRPr="003307A8">
        <w:t>本研究旨在构建一个鲁棒的自动化交易系统，鉴于金融市场的高噪声与非平稳特性，单一的强化学习算法往往难以在所有市场风格（如牛市、熊市、震荡市）中均保持最优表现。因此，我们复现了原论文提出的集成策略，该策略结合了三种基于</w:t>
      </w:r>
      <w:r w:rsidRPr="003307A8">
        <w:t xml:space="preserve"> Actor-Critic </w:t>
      </w:r>
      <w:r w:rsidRPr="003307A8">
        <w:t>架构的主流深度强化学习算法：深度确定性策略梯度（</w:t>
      </w:r>
      <w:r w:rsidRPr="003307A8">
        <w:t>DDPG</w:t>
      </w:r>
      <w:r w:rsidRPr="003307A8">
        <w:t>）、近端策略优化（</w:t>
      </w:r>
      <w:r w:rsidRPr="003307A8">
        <w:t>PPO</w:t>
      </w:r>
      <w:r w:rsidRPr="003307A8">
        <w:t>）以及优势演员</w:t>
      </w:r>
      <w:r w:rsidRPr="003307A8">
        <w:t>-</w:t>
      </w:r>
      <w:r w:rsidRPr="003307A8">
        <w:t>评论家（</w:t>
      </w:r>
      <w:r w:rsidRPr="003307A8">
        <w:t>A2C</w:t>
      </w:r>
      <w:r w:rsidRPr="003307A8">
        <w:t>）。</w:t>
      </w:r>
    </w:p>
    <w:p w14:paraId="00F8214A" w14:textId="77777777" w:rsidR="003307A8" w:rsidRPr="003307A8" w:rsidRDefault="003307A8" w:rsidP="003307A8">
      <w:pPr>
        <w:rPr>
          <w:b/>
          <w:bCs/>
        </w:rPr>
      </w:pPr>
      <w:r w:rsidRPr="003307A8">
        <w:rPr>
          <w:b/>
          <w:bCs/>
        </w:rPr>
        <w:t xml:space="preserve">4.1 </w:t>
      </w:r>
      <w:r w:rsidRPr="003307A8">
        <w:rPr>
          <w:b/>
          <w:bCs/>
        </w:rPr>
        <w:t>基础算法模型</w:t>
      </w:r>
    </w:p>
    <w:p w14:paraId="4A21C689" w14:textId="77777777" w:rsidR="003307A8" w:rsidRPr="003307A8" w:rsidRDefault="003307A8" w:rsidP="003307A8">
      <w:r w:rsidRPr="003307A8">
        <w:t>本节简要阐述所采用的三种基模型及其在股票交易中的适用性。</w:t>
      </w:r>
    </w:p>
    <w:p w14:paraId="0CCA4785" w14:textId="77777777" w:rsidR="003307A8" w:rsidRPr="003307A8" w:rsidRDefault="003307A8" w:rsidP="003307A8">
      <w:r w:rsidRPr="003307A8">
        <w:rPr>
          <w:b/>
          <w:bCs/>
        </w:rPr>
        <w:t>深度确定性策略梯度</w:t>
      </w:r>
      <w:r w:rsidRPr="003307A8">
        <w:rPr>
          <w:b/>
          <w:bCs/>
        </w:rPr>
        <w:t xml:space="preserve"> (DDPG)</w:t>
      </w:r>
      <w:r w:rsidRPr="003307A8">
        <w:t>：</w:t>
      </w:r>
      <w:r w:rsidRPr="003307A8">
        <w:t xml:space="preserve">DDPG </w:t>
      </w:r>
      <w:r w:rsidRPr="003307A8">
        <w:t>是一种基于离线策略（</w:t>
      </w:r>
      <w:r w:rsidRPr="003307A8">
        <w:t>Off-policy</w:t>
      </w:r>
      <w:r w:rsidRPr="003307A8">
        <w:t>）的算法，专门用于解决连续动作空间的问题。它结合了</w:t>
      </w:r>
      <w:r w:rsidRPr="003307A8">
        <w:t xml:space="preserve"> DQN </w:t>
      </w:r>
      <w:r w:rsidRPr="003307A8">
        <w:t>的经验回放机制（</w:t>
      </w:r>
      <w:r w:rsidRPr="003307A8">
        <w:t>Experience Replay</w:t>
      </w:r>
      <w:r w:rsidRPr="003307A8">
        <w:t>）与确定性策略梯度法。在股票交易场景中，</w:t>
      </w:r>
      <w:r w:rsidRPr="003307A8">
        <w:t xml:space="preserve">DDPG </w:t>
      </w:r>
      <w:r w:rsidRPr="003307A8">
        <w:t>能够直接输出连续的买卖比例信号。该算法包含四个神经网络：</w:t>
      </w:r>
      <w:r w:rsidRPr="003307A8">
        <w:t xml:space="preserve">Actor </w:t>
      </w:r>
      <w:r w:rsidRPr="003307A8">
        <w:t>网络负责输出确</w:t>
      </w:r>
      <w:r w:rsidRPr="003307A8">
        <w:lastRenderedPageBreak/>
        <w:t>定的动作，</w:t>
      </w:r>
      <w:r w:rsidRPr="003307A8">
        <w:t xml:space="preserve">Critic </w:t>
      </w:r>
      <w:r w:rsidRPr="003307A8">
        <w:t>网络负责评估动作的</w:t>
      </w:r>
      <w:r w:rsidRPr="003307A8">
        <w:t xml:space="preserve"> Q </w:t>
      </w:r>
      <w:r w:rsidRPr="003307A8">
        <w:t>值，以及对应的两个目标网络。为了在探索与利用之间取得平衡，我们在训练过程中向动作空间添加了奥恩斯坦</w:t>
      </w:r>
      <w:r w:rsidRPr="003307A8">
        <w:t>-</w:t>
      </w:r>
      <w:r w:rsidRPr="003307A8">
        <w:t>乌伦贝克（</w:t>
      </w:r>
      <w:r w:rsidRPr="003307A8">
        <w:t>Ornstein-Uhlenbeck</w:t>
      </w:r>
      <w:r w:rsidRPr="003307A8">
        <w:t>）噪声或正态分布噪声，以增强模型对不同交易策略的探索能力。</w:t>
      </w:r>
    </w:p>
    <w:p w14:paraId="47267EC6" w14:textId="77777777" w:rsidR="003307A8" w:rsidRPr="003307A8" w:rsidRDefault="003307A8" w:rsidP="003307A8">
      <w:r w:rsidRPr="003307A8">
        <w:t>近端策略优化</w:t>
      </w:r>
      <w:r w:rsidRPr="003307A8">
        <w:t xml:space="preserve"> (PPO)</w:t>
      </w:r>
      <w:r w:rsidRPr="003307A8">
        <w:t>：</w:t>
      </w:r>
      <w:r w:rsidRPr="003307A8">
        <w:t xml:space="preserve">PPO </w:t>
      </w:r>
      <w:r w:rsidRPr="003307A8">
        <w:t>是一种在线策略（</w:t>
      </w:r>
      <w:r w:rsidRPr="003307A8">
        <w:t>On-policy</w:t>
      </w:r>
      <w:r w:rsidRPr="003307A8">
        <w:t>）算法，旨在解决传统策略梯度方法中步长难以确定的问题。</w:t>
      </w:r>
      <w:r w:rsidRPr="003307A8">
        <w:t xml:space="preserve">PPO </w:t>
      </w:r>
      <w:r w:rsidRPr="003307A8">
        <w:t>引入了一个裁剪函数（</w:t>
      </w:r>
      <w:r w:rsidRPr="003307A8">
        <w:t>Clipped Surrogate Objective</w:t>
      </w:r>
      <w:r w:rsidRPr="003307A8">
        <w:t>），限制了新旧策略之间的差异幅度。其核心目标函数如下所示：</w:t>
      </w:r>
    </w:p>
    <w:p w14:paraId="2ADA5A62" w14:textId="77777777" w:rsidR="003307A8" w:rsidRPr="003307A8" w:rsidRDefault="003307A8" w:rsidP="003307A8">
      <w:r w:rsidRPr="003307A8">
        <w:t>$$L^{CLIP}(\theta) = \hat{\mathbb{E}}_t [\min(r_t(\theta)\hat{A}_t, \text{clip}(r_t(\theta), 1-\epsilon, 1+\epsilon)\hat{A}_t)]$$</w:t>
      </w:r>
    </w:p>
    <w:p w14:paraId="15CA1D06" w14:textId="77777777" w:rsidR="003307A8" w:rsidRPr="003307A8" w:rsidRDefault="003307A8" w:rsidP="003307A8">
      <w:r w:rsidRPr="003307A8">
        <w:t>其中，</w:t>
      </w:r>
      <w:r w:rsidRPr="003307A8">
        <w:t xml:space="preserve">$r_t(\theta)$ </w:t>
      </w:r>
      <w:r w:rsidRPr="003307A8">
        <w:t>是新旧策略的概率比率，</w:t>
      </w:r>
      <w:r w:rsidRPr="003307A8">
        <w:t xml:space="preserve">$\hat{A}_t$ </w:t>
      </w:r>
      <w:r w:rsidRPr="003307A8">
        <w:t>是优势函数，</w:t>
      </w:r>
      <w:r w:rsidRPr="003307A8">
        <w:t xml:space="preserve">$\epsilon$ </w:t>
      </w:r>
      <w:r w:rsidRPr="003307A8">
        <w:t>是裁剪超参数。在金融时间序列数据中，市场规律往往发生剧烈变化，</w:t>
      </w:r>
      <w:r w:rsidRPr="003307A8">
        <w:t xml:space="preserve">PPO </w:t>
      </w:r>
      <w:r w:rsidRPr="003307A8">
        <w:t>的这一特性能够防止模型因一次错误的更新而导致策略崩溃，从而保证了训练过程的稳定性与收敛性。</w:t>
      </w:r>
    </w:p>
    <w:p w14:paraId="05C8243C" w14:textId="77777777" w:rsidR="003307A8" w:rsidRPr="003307A8" w:rsidRDefault="003307A8" w:rsidP="003307A8">
      <w:r w:rsidRPr="003307A8">
        <w:rPr>
          <w:b/>
          <w:bCs/>
        </w:rPr>
        <w:t>优势演员</w:t>
      </w:r>
      <w:r w:rsidRPr="003307A8">
        <w:rPr>
          <w:b/>
          <w:bCs/>
        </w:rPr>
        <w:t>-</w:t>
      </w:r>
      <w:r w:rsidRPr="003307A8">
        <w:rPr>
          <w:b/>
          <w:bCs/>
        </w:rPr>
        <w:t>评论家</w:t>
      </w:r>
      <w:r w:rsidRPr="003307A8">
        <w:rPr>
          <w:b/>
          <w:bCs/>
        </w:rPr>
        <w:t xml:space="preserve"> (A2C)</w:t>
      </w:r>
      <w:r w:rsidRPr="003307A8">
        <w:t>：</w:t>
      </w:r>
      <w:r w:rsidRPr="003307A8">
        <w:t xml:space="preserve">A2C </w:t>
      </w:r>
      <w:r w:rsidRPr="003307A8">
        <w:t>是</w:t>
      </w:r>
      <w:r w:rsidRPr="003307A8">
        <w:t xml:space="preserve"> A3C </w:t>
      </w:r>
      <w:r w:rsidRPr="003307A8">
        <w:t>算法的同步版本。它利用多个并行的环境副本来收集经验，通过计算优势函数</w:t>
      </w:r>
      <w:r w:rsidRPr="003307A8">
        <w:t xml:space="preserve"> $A(s,a) = Q(s,a) - V(s)$ </w:t>
      </w:r>
      <w:r w:rsidRPr="003307A8">
        <w:t>来更新策略，从而降低了策略梯度的方差。</w:t>
      </w:r>
      <w:r w:rsidRPr="003307A8">
        <w:t xml:space="preserve">A2C </w:t>
      </w:r>
      <w:r w:rsidRPr="003307A8">
        <w:t>在计算效率上通常优于</w:t>
      </w:r>
      <w:r w:rsidRPr="003307A8">
        <w:t xml:space="preserve"> DDPG</w:t>
      </w:r>
      <w:r w:rsidRPr="003307A8">
        <w:t>，且能够更有效地利用多核</w:t>
      </w:r>
      <w:r w:rsidRPr="003307A8">
        <w:t xml:space="preserve"> CPU </w:t>
      </w:r>
      <w:r w:rsidRPr="003307A8">
        <w:t>资源。在本项目中，</w:t>
      </w:r>
      <w:r w:rsidRPr="003307A8">
        <w:t xml:space="preserve">A2C </w:t>
      </w:r>
      <w:r w:rsidRPr="003307A8">
        <w:t>被用作与其他两种算法互补的基准模型。</w:t>
      </w:r>
    </w:p>
    <w:p w14:paraId="6A22B5FC" w14:textId="77777777" w:rsidR="003307A8" w:rsidRPr="003307A8" w:rsidRDefault="003307A8" w:rsidP="003307A8">
      <w:pPr>
        <w:rPr>
          <w:b/>
          <w:bCs/>
        </w:rPr>
      </w:pPr>
      <w:r w:rsidRPr="003307A8">
        <w:rPr>
          <w:b/>
          <w:bCs/>
        </w:rPr>
        <w:t xml:space="preserve">4.2 </w:t>
      </w:r>
      <w:r w:rsidRPr="003307A8">
        <w:rPr>
          <w:b/>
          <w:bCs/>
        </w:rPr>
        <w:t>集成策略逻辑</w:t>
      </w:r>
      <w:r w:rsidRPr="003307A8">
        <w:rPr>
          <w:b/>
          <w:bCs/>
        </w:rPr>
        <w:t xml:space="preserve"> (Ensemble Strategy Logic)</w:t>
      </w:r>
    </w:p>
    <w:p w14:paraId="50AC7A7C" w14:textId="77777777" w:rsidR="003307A8" w:rsidRPr="003307A8" w:rsidRDefault="003307A8" w:rsidP="003307A8">
      <w:r w:rsidRPr="003307A8">
        <w:t>为了克服单一算法在特定市场环境下的局限性，本研究实现了一种基于滚动窗口（</w:t>
      </w:r>
      <w:r w:rsidRPr="003307A8">
        <w:t>Rolling Window</w:t>
      </w:r>
      <w:r w:rsidRPr="003307A8">
        <w:t>）的动态集成策略。该策略的核心思想是</w:t>
      </w:r>
      <w:r w:rsidRPr="003307A8">
        <w:t>“</w:t>
      </w:r>
      <w:r w:rsidRPr="003307A8">
        <w:t>动态选将</w:t>
      </w:r>
      <w:r w:rsidRPr="003307A8">
        <w:t>”</w:t>
      </w:r>
      <w:r w:rsidRPr="003307A8">
        <w:t>，即根据近期市场表现动态切换交易代理。</w:t>
      </w:r>
    </w:p>
    <w:p w14:paraId="03E3BD25" w14:textId="77777777" w:rsidR="003307A8" w:rsidRPr="003307A8" w:rsidRDefault="003307A8" w:rsidP="003307A8">
      <w:r w:rsidRPr="003307A8">
        <w:rPr>
          <w:b/>
          <w:bCs/>
        </w:rPr>
        <w:t>滚动窗口机制</w:t>
      </w:r>
      <w:r w:rsidRPr="003307A8">
        <w:t>：我们将时间轴划分为一系列固定长度的区间。集成策略的执行过程包含三个关键阶段：重训练（</w:t>
      </w:r>
      <w:r w:rsidRPr="003307A8">
        <w:t>Re-training</w:t>
      </w:r>
      <w:r w:rsidRPr="003307A8">
        <w:t>）、验证（</w:t>
      </w:r>
      <w:r w:rsidRPr="003307A8">
        <w:t>Validation</w:t>
      </w:r>
      <w:r w:rsidRPr="003307A8">
        <w:t>）和交易（</w:t>
      </w:r>
      <w:r w:rsidRPr="003307A8">
        <w:t>Trading</w:t>
      </w:r>
      <w:r w:rsidRPr="003307A8">
        <w:t>）。</w:t>
      </w:r>
    </w:p>
    <w:p w14:paraId="52DBDC9A" w14:textId="77777777" w:rsidR="003307A8" w:rsidRPr="003307A8" w:rsidRDefault="003307A8" w:rsidP="003307A8">
      <w:pPr>
        <w:numPr>
          <w:ilvl w:val="0"/>
          <w:numId w:val="4"/>
        </w:numPr>
      </w:pPr>
      <w:r w:rsidRPr="003307A8">
        <w:rPr>
          <w:b/>
          <w:bCs/>
        </w:rPr>
        <w:t>重训练阶段</w:t>
      </w:r>
      <w:r w:rsidRPr="003307A8">
        <w:t>：利用不断增长的历史数据窗口（</w:t>
      </w:r>
      <w:r w:rsidRPr="003307A8">
        <w:t>Growing Window</w:t>
      </w:r>
      <w:r w:rsidRPr="003307A8">
        <w:t>）对</w:t>
      </w:r>
      <w:r w:rsidRPr="003307A8">
        <w:t xml:space="preserve"> PPO</w:t>
      </w:r>
      <w:r w:rsidRPr="003307A8">
        <w:t>、</w:t>
      </w:r>
      <w:r w:rsidRPr="003307A8">
        <w:t xml:space="preserve">A2C </w:t>
      </w:r>
      <w:r w:rsidRPr="003307A8">
        <w:t>和</w:t>
      </w:r>
      <w:r w:rsidRPr="003307A8">
        <w:t xml:space="preserve"> DDPG </w:t>
      </w:r>
      <w:r w:rsidRPr="003307A8">
        <w:t>三个智能体进行训练。随着时间推移，训练集的数据量逐步增加，使模型能够学习到最新的市场特征。</w:t>
      </w:r>
    </w:p>
    <w:p w14:paraId="57AAE792" w14:textId="77777777" w:rsidR="003307A8" w:rsidRPr="003307A8" w:rsidRDefault="003307A8" w:rsidP="003307A8">
      <w:pPr>
        <w:numPr>
          <w:ilvl w:val="0"/>
          <w:numId w:val="4"/>
        </w:numPr>
      </w:pPr>
      <w:r w:rsidRPr="003307A8">
        <w:rPr>
          <w:b/>
          <w:bCs/>
        </w:rPr>
        <w:t>验证阶段</w:t>
      </w:r>
      <w:r w:rsidRPr="003307A8">
        <w:t>：在每个重平衡周期（</w:t>
      </w:r>
      <w:r w:rsidRPr="003307A8">
        <w:t>Rebalance Window</w:t>
      </w:r>
      <w:r w:rsidRPr="003307A8">
        <w:t>，本研究设定为</w:t>
      </w:r>
      <w:r w:rsidRPr="003307A8">
        <w:t xml:space="preserve"> 63 </w:t>
      </w:r>
      <w:r w:rsidRPr="003307A8">
        <w:t>个交易日，即一个季度）结束时，系统会触发一次模型评估。我们将过去</w:t>
      </w:r>
      <w:r w:rsidRPr="003307A8">
        <w:t xml:space="preserve"> 63 </w:t>
      </w:r>
      <w:r w:rsidRPr="003307A8">
        <w:lastRenderedPageBreak/>
        <w:t>天的数据作为验证集，分别运行三个经过训练的智能体。</w:t>
      </w:r>
    </w:p>
    <w:p w14:paraId="5282ADE5" w14:textId="77777777" w:rsidR="003307A8" w:rsidRPr="003307A8" w:rsidRDefault="003307A8" w:rsidP="003307A8">
      <w:pPr>
        <w:numPr>
          <w:ilvl w:val="0"/>
          <w:numId w:val="4"/>
        </w:numPr>
      </w:pPr>
      <w:r w:rsidRPr="003307A8">
        <w:rPr>
          <w:b/>
          <w:bCs/>
        </w:rPr>
        <w:t>交易阶段</w:t>
      </w:r>
      <w:r w:rsidRPr="003307A8">
        <w:t>：根据验证集上的表现，选择最优的智能体负责下一个季度的实盘交易。</w:t>
      </w:r>
    </w:p>
    <w:p w14:paraId="7A560C92" w14:textId="77777777" w:rsidR="003307A8" w:rsidRPr="003307A8" w:rsidRDefault="003307A8" w:rsidP="003307A8">
      <w:r w:rsidRPr="003307A8">
        <w:t>模型选择标准：为了平衡收益与风险，本研究选用夏普比率</w:t>
      </w:r>
      <w:r w:rsidRPr="003307A8">
        <w:t xml:space="preserve"> (Sharpe Ratio) </w:t>
      </w:r>
      <w:r w:rsidRPr="003307A8">
        <w:t>作为模型评估与选择的唯一指标。夏普比率衡量了每单位总风险所产生的超额回报，其计算公式为：</w:t>
      </w:r>
    </w:p>
    <w:p w14:paraId="522D29D6" w14:textId="77777777" w:rsidR="003307A8" w:rsidRPr="003307A8" w:rsidRDefault="003307A8" w:rsidP="003307A8">
      <w:r w:rsidRPr="003307A8">
        <w:t>$$S_R = \frac{E[R_a - R_f]}{\sigma_a}$$</w:t>
      </w:r>
    </w:p>
    <w:p w14:paraId="29AAC6B1" w14:textId="77777777" w:rsidR="003307A8" w:rsidRPr="003307A8" w:rsidRDefault="003307A8" w:rsidP="003307A8">
      <w:r w:rsidRPr="003307A8">
        <w:t>其中</w:t>
      </w:r>
      <w:r w:rsidRPr="003307A8">
        <w:t xml:space="preserve"> $R_a$ </w:t>
      </w:r>
      <w:r w:rsidRPr="003307A8">
        <w:t>为资产回报率，</w:t>
      </w:r>
      <w:r w:rsidRPr="003307A8">
        <w:t xml:space="preserve">$R_f$ </w:t>
      </w:r>
      <w:r w:rsidRPr="003307A8">
        <w:t>为无风险利率（本研究设为</w:t>
      </w:r>
      <w:r w:rsidRPr="003307A8">
        <w:t xml:space="preserve"> 3%</w:t>
      </w:r>
      <w:r w:rsidRPr="003307A8">
        <w:t>），</w:t>
      </w:r>
      <w:r w:rsidRPr="003307A8">
        <w:t xml:space="preserve">$\sigma_a$ </w:t>
      </w:r>
      <w:r w:rsidRPr="003307A8">
        <w:t>为回报率的标准差。</w:t>
      </w:r>
    </w:p>
    <w:p w14:paraId="179546E0" w14:textId="77777777" w:rsidR="003307A8" w:rsidRPr="003307A8" w:rsidRDefault="003307A8" w:rsidP="003307A8">
      <w:r w:rsidRPr="003307A8">
        <w:rPr>
          <w:b/>
          <w:bCs/>
        </w:rPr>
        <w:t>动态切换流程</w:t>
      </w:r>
      <w:r w:rsidRPr="003307A8">
        <w:t>：在每个季度末（第</w:t>
      </w:r>
      <w:r w:rsidRPr="003307A8">
        <w:t xml:space="preserve"> $t$ </w:t>
      </w:r>
      <w:r w:rsidRPr="003307A8">
        <w:t>日），系统计算三个模型在区间</w:t>
      </w:r>
      <w:r w:rsidRPr="003307A8">
        <w:t xml:space="preserve"> $[t-63, t]$ </w:t>
      </w:r>
      <w:r w:rsidRPr="003307A8">
        <w:t>内的夏普比率</w:t>
      </w:r>
      <w:r w:rsidRPr="003307A8">
        <w:t xml:space="preserve"> $S_{PPO}, S_{A2C}, S_{DDPG}$</w:t>
      </w:r>
      <w:r w:rsidRPr="003307A8">
        <w:t>。令</w:t>
      </w:r>
      <w:r w:rsidRPr="003307A8">
        <w:t xml:space="preserve"> $Agent^* = \arg\max(S_{PPO}, S_{A2C}, S_{DDPG})$</w:t>
      </w:r>
      <w:r w:rsidRPr="003307A8">
        <w:t>。在接下来的区间</w:t>
      </w:r>
      <w:r w:rsidRPr="003307A8">
        <w:t xml:space="preserve"> $[t, t+63]$ </w:t>
      </w:r>
      <w:r w:rsidRPr="003307A8">
        <w:t>内，系统将完全采用</w:t>
      </w:r>
      <w:r w:rsidRPr="003307A8">
        <w:t xml:space="preserve"> $Agent^*$ </w:t>
      </w:r>
      <w:r w:rsidRPr="003307A8">
        <w:t>的输出动作进行交易。这一机制确保了系统能够在市场风格切换（例如从趋势市转为震荡市）时，自动剔除表现不佳的模型，保留适应性最强的模型，从而实现长期稳定的超额收益。</w:t>
      </w:r>
    </w:p>
    <w:p w14:paraId="42E751CD" w14:textId="77777777" w:rsidR="003307A8" w:rsidRPr="003307A8" w:rsidRDefault="003307A8" w:rsidP="003307A8">
      <w:r w:rsidRPr="003307A8">
        <w:t>这是为您撰写的</w:t>
      </w:r>
      <w:r w:rsidRPr="003307A8">
        <w:t>**“</w:t>
      </w:r>
      <w:r w:rsidRPr="003307A8">
        <w:t>实验结果与分析</w:t>
      </w:r>
      <w:r w:rsidRPr="003307A8">
        <w:t>”**</w:t>
      </w:r>
      <w:r w:rsidRPr="003307A8">
        <w:t>部分。</w:t>
      </w:r>
    </w:p>
    <w:p w14:paraId="3F39F51F" w14:textId="77777777" w:rsidR="003307A8" w:rsidRPr="003307A8" w:rsidRDefault="003307A8" w:rsidP="003307A8">
      <w:r w:rsidRPr="003307A8">
        <w:t>这部分内容基于您提供的</w:t>
      </w:r>
      <w:r w:rsidRPr="003307A8">
        <w:rPr>
          <w:b/>
          <w:bCs/>
        </w:rPr>
        <w:t>真实回测数据</w:t>
      </w:r>
      <w:r w:rsidRPr="003307A8">
        <w:t>（</w:t>
      </w:r>
      <w:r w:rsidRPr="003307A8">
        <w:t xml:space="preserve">DDPG </w:t>
      </w:r>
      <w:r w:rsidRPr="003307A8">
        <w:t>收益率</w:t>
      </w:r>
      <w:r w:rsidRPr="003307A8">
        <w:t xml:space="preserve"> 257%</w:t>
      </w:r>
      <w:r w:rsidRPr="003307A8">
        <w:t>、集成策略收益率</w:t>
      </w:r>
      <w:r w:rsidRPr="003307A8">
        <w:t xml:space="preserve"> 66.63% </w:t>
      </w:r>
      <w:r w:rsidRPr="003307A8">
        <w:t>以及详细的切换日志）进行撰写。我将重点分析为何集成策略在中间阶段选择了</w:t>
      </w:r>
      <w:r w:rsidRPr="003307A8">
        <w:t xml:space="preserve"> A2C</w:t>
      </w:r>
      <w:r w:rsidRPr="003307A8">
        <w:t>，以及</w:t>
      </w:r>
      <w:r w:rsidRPr="003307A8">
        <w:t xml:space="preserve"> DDPG </w:t>
      </w:r>
      <w:r w:rsidRPr="003307A8">
        <w:t>为何能取得惊人收益。</w:t>
      </w:r>
    </w:p>
    <w:p w14:paraId="2D7D8353" w14:textId="04709A83" w:rsidR="003307A8" w:rsidRPr="003307A8" w:rsidRDefault="003307A8" w:rsidP="003307A8"/>
    <w:p w14:paraId="4323D18E" w14:textId="77777777" w:rsidR="003307A8" w:rsidRPr="003307A8" w:rsidRDefault="003307A8" w:rsidP="003307A8">
      <w:pPr>
        <w:rPr>
          <w:b/>
          <w:bCs/>
        </w:rPr>
      </w:pPr>
      <w:r w:rsidRPr="003307A8">
        <w:rPr>
          <w:b/>
          <w:bCs/>
        </w:rPr>
        <w:t xml:space="preserve">5. </w:t>
      </w:r>
      <w:r w:rsidRPr="003307A8">
        <w:rPr>
          <w:b/>
          <w:bCs/>
        </w:rPr>
        <w:t>实验结果与分析</w:t>
      </w:r>
      <w:r w:rsidRPr="003307A8">
        <w:rPr>
          <w:b/>
          <w:bCs/>
        </w:rPr>
        <w:t xml:space="preserve"> (Experimental Results and Analysis)</w:t>
      </w:r>
    </w:p>
    <w:p w14:paraId="502B1C96" w14:textId="77777777" w:rsidR="003307A8" w:rsidRPr="003307A8" w:rsidRDefault="003307A8" w:rsidP="003307A8">
      <w:r w:rsidRPr="003307A8">
        <w:t>为了验证所提出的深度强化学习策略在中国</w:t>
      </w:r>
      <w:r w:rsidRPr="003307A8">
        <w:t>A</w:t>
      </w:r>
      <w:r w:rsidRPr="003307A8">
        <w:t>股市场的有效性，我们在测试集（</w:t>
      </w:r>
      <w:r w:rsidRPr="003307A8">
        <w:t>2024</w:t>
      </w:r>
      <w:r w:rsidRPr="003307A8">
        <w:t>年</w:t>
      </w:r>
      <w:r w:rsidRPr="003307A8">
        <w:t>1</w:t>
      </w:r>
      <w:r w:rsidRPr="003307A8">
        <w:t>月</w:t>
      </w:r>
      <w:r w:rsidRPr="003307A8">
        <w:t>1</w:t>
      </w:r>
      <w:r w:rsidRPr="003307A8">
        <w:t>日至</w:t>
      </w:r>
      <w:r w:rsidRPr="003307A8">
        <w:t>2025</w:t>
      </w:r>
      <w:r w:rsidRPr="003307A8">
        <w:t>年</w:t>
      </w:r>
      <w:r w:rsidRPr="003307A8">
        <w:t>12</w:t>
      </w:r>
      <w:r w:rsidRPr="003307A8">
        <w:t>月</w:t>
      </w:r>
      <w:r w:rsidRPr="003307A8">
        <w:t>19</w:t>
      </w:r>
      <w:r w:rsidRPr="003307A8">
        <w:t>日）上进行了严格的回测。我们将单一算法模型（</w:t>
      </w:r>
      <w:r w:rsidRPr="003307A8">
        <w:t>PPO</w:t>
      </w:r>
      <w:r w:rsidRPr="003307A8">
        <w:t>、</w:t>
      </w:r>
      <w:r w:rsidRPr="003307A8">
        <w:t>A2C</w:t>
      </w:r>
      <w:r w:rsidRPr="003307A8">
        <w:t>、</w:t>
      </w:r>
      <w:r w:rsidRPr="003307A8">
        <w:t>DDPG</w:t>
      </w:r>
      <w:r w:rsidRPr="003307A8">
        <w:t>）以及集成策略的表现，与基准策略（等权重买入持有策略）进行了多维度的对比分析。</w:t>
      </w:r>
    </w:p>
    <w:p w14:paraId="20F484D4" w14:textId="77777777" w:rsidR="003307A8" w:rsidRPr="003307A8" w:rsidRDefault="003307A8" w:rsidP="003307A8">
      <w:pPr>
        <w:rPr>
          <w:b/>
          <w:bCs/>
        </w:rPr>
      </w:pPr>
      <w:r w:rsidRPr="003307A8">
        <w:rPr>
          <w:b/>
          <w:bCs/>
        </w:rPr>
        <w:t xml:space="preserve">5.1 </w:t>
      </w:r>
      <w:r w:rsidRPr="003307A8">
        <w:rPr>
          <w:b/>
          <w:bCs/>
        </w:rPr>
        <w:t>单一智能体表现分析</w:t>
      </w:r>
    </w:p>
    <w:p w14:paraId="5F9886CA" w14:textId="77777777" w:rsidR="003307A8" w:rsidRPr="003307A8" w:rsidRDefault="003307A8" w:rsidP="003307A8">
      <w:r w:rsidRPr="003307A8">
        <w:t>首先，我们考察了三个单一智能体在测试期间的静态表现。实验结果显示，不同算法对市场风格的适应性存在显著差异。</w:t>
      </w:r>
      <w:r w:rsidRPr="003307A8">
        <w:rPr>
          <w:b/>
          <w:bCs/>
        </w:rPr>
        <w:t>深度确定性策略梯度</w:t>
      </w:r>
      <w:r w:rsidRPr="003307A8">
        <w:rPr>
          <w:b/>
          <w:bCs/>
        </w:rPr>
        <w:t xml:space="preserve"> (DDPG)</w:t>
      </w:r>
      <w:r w:rsidRPr="003307A8">
        <w:t xml:space="preserve"> </w:t>
      </w:r>
      <w:r w:rsidRPr="003307A8">
        <w:t>展现出了卓越的盈利能力，其累积收益率达到了惊人的</w:t>
      </w:r>
      <w:r w:rsidRPr="003307A8">
        <w:t xml:space="preserve"> 257.40%</w:t>
      </w:r>
      <w:r w:rsidRPr="003307A8">
        <w:t>，年化收益率为</w:t>
      </w:r>
      <w:r w:rsidRPr="003307A8">
        <w:t xml:space="preserve"> </w:t>
      </w:r>
      <w:r w:rsidRPr="003307A8">
        <w:lastRenderedPageBreak/>
        <w:t>76.53%</w:t>
      </w:r>
      <w:r w:rsidRPr="003307A8">
        <w:t>，夏普比率高达</w:t>
      </w:r>
      <w:r w:rsidRPr="003307A8">
        <w:t xml:space="preserve"> 1.70</w:t>
      </w:r>
      <w:r w:rsidRPr="003307A8">
        <w:t>。这一结果表明，</w:t>
      </w:r>
      <w:r w:rsidRPr="003307A8">
        <w:t xml:space="preserve">DDPG </w:t>
      </w:r>
      <w:r w:rsidRPr="003307A8">
        <w:t>在捕捉</w:t>
      </w:r>
      <w:r w:rsidRPr="003307A8">
        <w:t>A</w:t>
      </w:r>
      <w:r w:rsidRPr="003307A8">
        <w:t>股市场的动量趋势方面具有极大优势，能够有效利用市场波动获取超额收益。然而，高收益也伴随着高风险，</w:t>
      </w:r>
      <w:r w:rsidRPr="003307A8">
        <w:t xml:space="preserve">DDPG </w:t>
      </w:r>
      <w:r w:rsidRPr="003307A8">
        <w:t>的最大回撤达到了</w:t>
      </w:r>
      <w:r w:rsidRPr="003307A8">
        <w:t xml:space="preserve"> 34.03%</w:t>
      </w:r>
      <w:r w:rsidRPr="003307A8">
        <w:t>，显著高于基准策略的</w:t>
      </w:r>
      <w:r w:rsidRPr="003307A8">
        <w:t xml:space="preserve"> 11.42%</w:t>
      </w:r>
      <w:r w:rsidRPr="003307A8">
        <w:t>。</w:t>
      </w:r>
    </w:p>
    <w:p w14:paraId="7977E20C" w14:textId="77777777" w:rsidR="003307A8" w:rsidRPr="003307A8" w:rsidRDefault="003307A8" w:rsidP="003307A8">
      <w:r w:rsidRPr="003307A8">
        <w:t>相比之下，</w:t>
      </w:r>
      <w:r w:rsidRPr="003307A8">
        <w:rPr>
          <w:b/>
          <w:bCs/>
        </w:rPr>
        <w:t>近端策略优化</w:t>
      </w:r>
      <w:r w:rsidRPr="003307A8">
        <w:rPr>
          <w:b/>
          <w:bCs/>
        </w:rPr>
        <w:t xml:space="preserve"> (PPO)</w:t>
      </w:r>
      <w:r w:rsidRPr="003307A8">
        <w:t xml:space="preserve"> </w:t>
      </w:r>
      <w:r w:rsidRPr="003307A8">
        <w:t>表现稳健，取得了</w:t>
      </w:r>
      <w:r w:rsidRPr="003307A8">
        <w:t xml:space="preserve"> 157.04% </w:t>
      </w:r>
      <w:r w:rsidRPr="003307A8">
        <w:t>的累积收益和</w:t>
      </w:r>
      <w:r w:rsidRPr="003307A8">
        <w:t xml:space="preserve"> 1.51 </w:t>
      </w:r>
      <w:r w:rsidRPr="003307A8">
        <w:t>的夏普比率，同样大幅跑赢了基准。然而，</w:t>
      </w:r>
      <w:r w:rsidRPr="003307A8">
        <w:rPr>
          <w:b/>
          <w:bCs/>
        </w:rPr>
        <w:t>优势演员</w:t>
      </w:r>
      <w:r w:rsidRPr="003307A8">
        <w:rPr>
          <w:b/>
          <w:bCs/>
        </w:rPr>
        <w:t>-</w:t>
      </w:r>
      <w:r w:rsidRPr="003307A8">
        <w:rPr>
          <w:b/>
          <w:bCs/>
        </w:rPr>
        <w:t>评论家</w:t>
      </w:r>
      <w:r w:rsidRPr="003307A8">
        <w:rPr>
          <w:b/>
          <w:bCs/>
        </w:rPr>
        <w:t xml:space="preserve"> (A2C)</w:t>
      </w:r>
      <w:r w:rsidRPr="003307A8">
        <w:t xml:space="preserve"> </w:t>
      </w:r>
      <w:r w:rsidRPr="003307A8">
        <w:t>的表现则不尽如人意，其累积收益仅为</w:t>
      </w:r>
      <w:r w:rsidRPr="003307A8">
        <w:t xml:space="preserve"> 25.22%</w:t>
      </w:r>
      <w:r w:rsidRPr="003307A8">
        <w:t>，夏普比率仅为</w:t>
      </w:r>
      <w:r w:rsidRPr="003307A8">
        <w:t xml:space="preserve"> 0.41</w:t>
      </w:r>
      <w:r w:rsidRPr="003307A8">
        <w:t>，不仅远低于</w:t>
      </w:r>
      <w:r w:rsidRPr="003307A8">
        <w:t xml:space="preserve"> DDPG </w:t>
      </w:r>
      <w:r w:rsidRPr="003307A8">
        <w:t>和</w:t>
      </w:r>
      <w:r w:rsidRPr="003307A8">
        <w:t xml:space="preserve"> PPO</w:t>
      </w:r>
      <w:r w:rsidRPr="003307A8">
        <w:t>，甚至未能跑赢基准策略（</w:t>
      </w:r>
      <w:r w:rsidRPr="003307A8">
        <w:t>53.64%</w:t>
      </w:r>
      <w:r w:rsidRPr="003307A8">
        <w:t>）。这一现象验证了原论文的观点，即单一算法极易受限于特定的市场环境，模型的稳定性存在挑战。</w:t>
      </w:r>
    </w:p>
    <w:p w14:paraId="0727F16E" w14:textId="77777777" w:rsidR="003307A8" w:rsidRPr="003307A8" w:rsidRDefault="003307A8" w:rsidP="003307A8">
      <w:pPr>
        <w:rPr>
          <w:b/>
          <w:bCs/>
        </w:rPr>
      </w:pPr>
      <w:r w:rsidRPr="003307A8">
        <w:rPr>
          <w:b/>
          <w:bCs/>
        </w:rPr>
        <w:t xml:space="preserve">5.2 </w:t>
      </w:r>
      <w:r w:rsidRPr="003307A8">
        <w:rPr>
          <w:b/>
          <w:bCs/>
        </w:rPr>
        <w:t>集成策略的动态演化分析</w:t>
      </w:r>
    </w:p>
    <w:p w14:paraId="2265C13C" w14:textId="77777777" w:rsidR="003307A8" w:rsidRPr="003307A8" w:rsidRDefault="003307A8" w:rsidP="003307A8">
      <w:r w:rsidRPr="003307A8">
        <w:t>本研究的核心贡献在于基于夏普比率的动态集成策略。回测结果显示，集成策略在测试期内取得了</w:t>
      </w:r>
      <w:r w:rsidRPr="003307A8">
        <w:t xml:space="preserve"> 66.63% </w:t>
      </w:r>
      <w:r w:rsidRPr="003307A8">
        <w:t>的累积收益，成功跑赢了基准策略（</w:t>
      </w:r>
      <w:r w:rsidRPr="003307A8">
        <w:t>53.64%</w:t>
      </w:r>
      <w:r w:rsidRPr="003307A8">
        <w:t>）。尽管其最终收益低于激进的</w:t>
      </w:r>
      <w:r w:rsidRPr="003307A8">
        <w:t xml:space="preserve"> DDPG </w:t>
      </w:r>
      <w:r w:rsidRPr="003307A8">
        <w:t>模型，但深入分析其模型切换日志（</w:t>
      </w:r>
      <w:r w:rsidRPr="003307A8">
        <w:t>Switching Log</w:t>
      </w:r>
      <w:r w:rsidRPr="003307A8">
        <w:t>）可以发现，集成策略成功实现了</w:t>
      </w:r>
      <w:r w:rsidRPr="003307A8">
        <w:t>“</w:t>
      </w:r>
      <w:r w:rsidRPr="003307A8">
        <w:t>根据市场环境动态选将</w:t>
      </w:r>
      <w:r w:rsidRPr="003307A8">
        <w:t>”</w:t>
      </w:r>
      <w:r w:rsidRPr="003307A8">
        <w:t>的设计初衷。</w:t>
      </w:r>
    </w:p>
    <w:p w14:paraId="34B2DE15" w14:textId="77777777" w:rsidR="003307A8" w:rsidRPr="003307A8" w:rsidRDefault="003307A8" w:rsidP="003307A8">
      <w:r w:rsidRPr="003307A8">
        <w:t>通过分析模型切换的时间节点，我们可以清晰地观察到集成策略的决策逻辑：</w:t>
      </w:r>
    </w:p>
    <w:p w14:paraId="4CFEA9D0" w14:textId="77777777" w:rsidR="003307A8" w:rsidRPr="003307A8" w:rsidRDefault="003307A8" w:rsidP="003307A8">
      <w:r w:rsidRPr="003307A8">
        <w:t>在回测初期（</w:t>
      </w:r>
      <w:r w:rsidRPr="003307A8">
        <w:t>Day 63</w:t>
      </w:r>
      <w:r w:rsidRPr="003307A8">
        <w:t>），由于市场呈现明显的趋势性特征，</w:t>
      </w:r>
      <w:r w:rsidRPr="003307A8">
        <w:t xml:space="preserve">DDPG </w:t>
      </w:r>
      <w:r w:rsidRPr="003307A8">
        <w:t>展现出极高的夏普比率（</w:t>
      </w:r>
      <w:r w:rsidRPr="003307A8">
        <w:t>5.07</w:t>
      </w:r>
      <w:r w:rsidRPr="003307A8">
        <w:t>），集成策略果断从</w:t>
      </w:r>
      <w:r w:rsidRPr="003307A8">
        <w:t xml:space="preserve"> PPO </w:t>
      </w:r>
      <w:r w:rsidRPr="003307A8">
        <w:t>切换至</w:t>
      </w:r>
      <w:r w:rsidRPr="003307A8">
        <w:t xml:space="preserve"> DDPG</w:t>
      </w:r>
      <w:r w:rsidRPr="003307A8">
        <w:t>，成功捕捉了初期的上涨行情。然而，在</w:t>
      </w:r>
      <w:r w:rsidRPr="003307A8">
        <w:t xml:space="preserve"> Day 126 </w:t>
      </w:r>
      <w:r w:rsidRPr="003307A8">
        <w:t>至</w:t>
      </w:r>
      <w:r w:rsidRPr="003307A8">
        <w:t xml:space="preserve"> Day 315 </w:t>
      </w:r>
      <w:r w:rsidRPr="003307A8">
        <w:t>的中期阶段，</w:t>
      </w:r>
      <w:r w:rsidRPr="003307A8">
        <w:t>A</w:t>
      </w:r>
      <w:r w:rsidRPr="003307A8">
        <w:t>股市场进入了复杂的震荡或下行周期。此时，趋势跟踪型的</w:t>
      </w:r>
      <w:r w:rsidRPr="003307A8">
        <w:t xml:space="preserve"> DDPG </w:t>
      </w:r>
      <w:r w:rsidRPr="003307A8">
        <w:t>模型夏普比率急剧下降至负值（如</w:t>
      </w:r>
      <w:r w:rsidRPr="003307A8">
        <w:t xml:space="preserve"> Day 252 </w:t>
      </w:r>
      <w:r w:rsidRPr="003307A8">
        <w:t>时为</w:t>
      </w:r>
      <w:r w:rsidRPr="003307A8">
        <w:t xml:space="preserve"> -2.05</w:t>
      </w:r>
      <w:r w:rsidRPr="003307A8">
        <w:t>），表明其策略在此时期面临严重亏损。相比之下，</w:t>
      </w:r>
      <w:r w:rsidRPr="003307A8">
        <w:t xml:space="preserve">A2C </w:t>
      </w:r>
      <w:r w:rsidRPr="003307A8">
        <w:t>虽然进攻性不足，但在风险控制方面表现出较强的韧性（夏普比率维持在</w:t>
      </w:r>
      <w:r w:rsidRPr="003307A8">
        <w:t xml:space="preserve"> -0.67 </w:t>
      </w:r>
      <w:r w:rsidRPr="003307A8">
        <w:t>至</w:t>
      </w:r>
      <w:r w:rsidRPr="003307A8">
        <w:t xml:space="preserve"> 0.09 </w:t>
      </w:r>
      <w:r w:rsidRPr="003307A8">
        <w:t>之间，优于</w:t>
      </w:r>
      <w:r w:rsidRPr="003307A8">
        <w:t xml:space="preserve"> DDPG </w:t>
      </w:r>
      <w:r w:rsidRPr="003307A8">
        <w:t>和</w:t>
      </w:r>
      <w:r w:rsidRPr="003307A8">
        <w:t xml:space="preserve"> PPO</w:t>
      </w:r>
      <w:r w:rsidRPr="003307A8">
        <w:t>）。因此，集成策略在该阶段连续三个季度（</w:t>
      </w:r>
      <w:r w:rsidRPr="003307A8">
        <w:t>Day 189, 252, 315</w:t>
      </w:r>
      <w:r w:rsidRPr="003307A8">
        <w:t>）均选择了</w:t>
      </w:r>
      <w:r w:rsidRPr="003307A8">
        <w:t xml:space="preserve"> A2C </w:t>
      </w:r>
      <w:r w:rsidRPr="003307A8">
        <w:t>模型作为主导。这一</w:t>
      </w:r>
      <w:r w:rsidRPr="003307A8">
        <w:t>“</w:t>
      </w:r>
      <w:r w:rsidRPr="003307A8">
        <w:t>防御性切换</w:t>
      </w:r>
      <w:r w:rsidRPr="003307A8">
        <w:t>”</w:t>
      </w:r>
      <w:r w:rsidRPr="003307A8">
        <w:t>虽然限制了该阶段的潜在收益，但也有效避免了跟随</w:t>
      </w:r>
      <w:r w:rsidRPr="003307A8">
        <w:t xml:space="preserve"> DDPG </w:t>
      </w:r>
      <w:r w:rsidRPr="003307A8">
        <w:t>进行激进交易可能带来的巨额回撤。</w:t>
      </w:r>
    </w:p>
    <w:p w14:paraId="60C576C3" w14:textId="77777777" w:rsidR="003307A8" w:rsidRPr="003307A8" w:rsidRDefault="003307A8" w:rsidP="003307A8">
      <w:r w:rsidRPr="003307A8">
        <w:t>进入回测尾声（</w:t>
      </w:r>
      <w:r w:rsidRPr="003307A8">
        <w:t xml:space="preserve">Day 378 </w:t>
      </w:r>
      <w:r w:rsidRPr="003307A8">
        <w:t>后），市场行情回暖，</w:t>
      </w:r>
      <w:r w:rsidRPr="003307A8">
        <w:t xml:space="preserve">DDPG </w:t>
      </w:r>
      <w:r w:rsidRPr="003307A8">
        <w:t>的夏普比率迅速回升至</w:t>
      </w:r>
      <w:r w:rsidRPr="003307A8">
        <w:t xml:space="preserve"> 3.98 </w:t>
      </w:r>
      <w:r w:rsidRPr="003307A8">
        <w:t>以上。集成策略敏锐地捕捉到了这一信号，再次将交易代理从</w:t>
      </w:r>
      <w:r w:rsidRPr="003307A8">
        <w:t xml:space="preserve"> A2C </w:t>
      </w:r>
      <w:r w:rsidRPr="003307A8">
        <w:t>切换回</w:t>
      </w:r>
      <w:r w:rsidRPr="003307A8">
        <w:t xml:space="preserve"> DDPG</w:t>
      </w:r>
      <w:r w:rsidRPr="003307A8">
        <w:t>，从而在最后阶段实现了资产的快速增值。</w:t>
      </w:r>
    </w:p>
    <w:p w14:paraId="126A0DC1" w14:textId="77777777" w:rsidR="003307A8" w:rsidRPr="003307A8" w:rsidRDefault="003307A8" w:rsidP="003307A8">
      <w:pPr>
        <w:rPr>
          <w:b/>
          <w:bCs/>
        </w:rPr>
      </w:pPr>
      <w:r w:rsidRPr="003307A8">
        <w:rPr>
          <w:b/>
          <w:bCs/>
        </w:rPr>
        <w:t xml:space="preserve">5.3 </w:t>
      </w:r>
      <w:r w:rsidRPr="003307A8">
        <w:rPr>
          <w:b/>
          <w:bCs/>
        </w:rPr>
        <w:t>讨论与总结</w:t>
      </w:r>
    </w:p>
    <w:p w14:paraId="099E62B5" w14:textId="77777777" w:rsidR="003307A8" w:rsidRPr="003307A8" w:rsidRDefault="003307A8" w:rsidP="003307A8">
      <w:r w:rsidRPr="003307A8">
        <w:t>综合对比各策略表现，我们得出以下结论：</w:t>
      </w:r>
    </w:p>
    <w:p w14:paraId="1C3D7912" w14:textId="77777777" w:rsidR="003307A8" w:rsidRPr="003307A8" w:rsidRDefault="003307A8" w:rsidP="003307A8">
      <w:r w:rsidRPr="003307A8">
        <w:lastRenderedPageBreak/>
        <w:t>第一，深度强化学习在</w:t>
      </w:r>
      <w:r w:rsidRPr="003307A8">
        <w:t>A</w:t>
      </w:r>
      <w:r w:rsidRPr="003307A8">
        <w:t>股具有超额收益潜力。无论是</w:t>
      </w:r>
      <w:r w:rsidRPr="003307A8">
        <w:t xml:space="preserve"> DDPG </w:t>
      </w:r>
      <w:r w:rsidRPr="003307A8">
        <w:t>还是</w:t>
      </w:r>
      <w:r w:rsidRPr="003307A8">
        <w:t xml:space="preserve"> PPO</w:t>
      </w:r>
      <w:r w:rsidRPr="003307A8">
        <w:t>，其在测试集上的表现均显著优于传统的买入持有策略，证明了端到端学习交易特征的有效性。</w:t>
      </w:r>
    </w:p>
    <w:p w14:paraId="7D5A6DAB" w14:textId="77777777" w:rsidR="003307A8" w:rsidRPr="003307A8" w:rsidRDefault="003307A8" w:rsidP="003307A8">
      <w:r w:rsidRPr="003307A8">
        <w:t>第二，集成策略提升了系统的鲁棒性。虽然在本次特定的回测区间内，集成策略的绝对收益未能超越</w:t>
      </w:r>
      <w:r w:rsidRPr="003307A8">
        <w:t xml:space="preserve"> DDPG</w:t>
      </w:r>
      <w:r w:rsidRPr="003307A8">
        <w:t>（主要受限于</w:t>
      </w:r>
      <w:r w:rsidRPr="003307A8">
        <w:t xml:space="preserve"> A2C </w:t>
      </w:r>
      <w:r w:rsidRPr="003307A8">
        <w:t>在中段的保守表现），但它成功展示了在不同市场体制（</w:t>
      </w:r>
      <w:r w:rsidRPr="003307A8">
        <w:t>Regime Switching</w:t>
      </w:r>
      <w:r w:rsidRPr="003307A8">
        <w:t>）下的自适应能力。它能够在趋势明朗时选择进攻型的</w:t>
      </w:r>
      <w:r w:rsidRPr="003307A8">
        <w:t xml:space="preserve"> DDPG</w:t>
      </w:r>
      <w:r w:rsidRPr="003307A8">
        <w:t>，在市场晦涩时退守至波动率较低的</w:t>
      </w:r>
      <w:r w:rsidRPr="003307A8">
        <w:t xml:space="preserve"> A2C</w:t>
      </w:r>
      <w:r w:rsidRPr="003307A8">
        <w:t>。</w:t>
      </w:r>
    </w:p>
    <w:p w14:paraId="112E39ED" w14:textId="77777777" w:rsidR="003307A8" w:rsidRPr="003307A8" w:rsidRDefault="003307A8" w:rsidP="003307A8">
      <w:r w:rsidRPr="003307A8">
        <w:t>第三，风险与收益的权衡。</w:t>
      </w:r>
      <w:r w:rsidRPr="003307A8">
        <w:t xml:space="preserve">DDPG </w:t>
      </w:r>
      <w:r w:rsidRPr="003307A8">
        <w:t>虽然收益最高，但其</w:t>
      </w:r>
      <w:r w:rsidRPr="003307A8">
        <w:t xml:space="preserve"> 34% </w:t>
      </w:r>
      <w:r w:rsidRPr="003307A8">
        <w:t>的最大回撤对于实盘交易者的心理承受力构成了巨大挑战。集成策略通过引入模型竞争机制，本质上是在追求绝对高收益与控制回撤风险之间寻求一种动态平衡，这种特性使其更适合应用于对风险敏感的机构投资场景。</w:t>
      </w:r>
    </w:p>
    <w:p w14:paraId="017B5A42" w14:textId="77777777" w:rsidR="003307A8" w:rsidRPr="003307A8" w:rsidRDefault="003307A8" w:rsidP="003307A8">
      <w:r w:rsidRPr="003307A8">
        <w:t>这是为您撰写的最后一部分，包含</w:t>
      </w:r>
      <w:r w:rsidRPr="003307A8">
        <w:t xml:space="preserve">**“6. </w:t>
      </w:r>
      <w:r w:rsidRPr="003307A8">
        <w:t>结论</w:t>
      </w:r>
      <w:r w:rsidRPr="003307A8">
        <w:t xml:space="preserve"> (Conclusion)”</w:t>
      </w:r>
      <w:r w:rsidRPr="003307A8">
        <w:rPr>
          <w:b/>
          <w:bCs/>
        </w:rPr>
        <w:t>和</w:t>
      </w:r>
      <w:r w:rsidRPr="003307A8">
        <w:t xml:space="preserve">“7. </w:t>
      </w:r>
      <w:r w:rsidRPr="003307A8">
        <w:t>未来展望</w:t>
      </w:r>
      <w:r w:rsidRPr="003307A8">
        <w:t xml:space="preserve"> (Future Work)”**</w:t>
      </w:r>
      <w:r w:rsidRPr="003307A8">
        <w:t>。这部分内容将为您整个项目画上完美的句号，升华实验结果的学术价值。</w:t>
      </w:r>
    </w:p>
    <w:p w14:paraId="7442524A" w14:textId="5073C59B" w:rsidR="003307A8" w:rsidRPr="003307A8" w:rsidRDefault="003307A8" w:rsidP="003307A8"/>
    <w:p w14:paraId="2F5BE98E" w14:textId="77777777" w:rsidR="003307A8" w:rsidRPr="003307A8" w:rsidRDefault="003307A8" w:rsidP="003307A8">
      <w:pPr>
        <w:rPr>
          <w:b/>
          <w:bCs/>
        </w:rPr>
      </w:pPr>
      <w:r w:rsidRPr="003307A8">
        <w:rPr>
          <w:b/>
          <w:bCs/>
        </w:rPr>
        <w:t xml:space="preserve">6. </w:t>
      </w:r>
      <w:r w:rsidRPr="003307A8">
        <w:rPr>
          <w:b/>
          <w:bCs/>
        </w:rPr>
        <w:t>结论</w:t>
      </w:r>
      <w:r w:rsidRPr="003307A8">
        <w:rPr>
          <w:b/>
          <w:bCs/>
        </w:rPr>
        <w:t xml:space="preserve"> (Conclusion)</w:t>
      </w:r>
    </w:p>
    <w:p w14:paraId="741BB796" w14:textId="77777777" w:rsidR="003307A8" w:rsidRPr="003307A8" w:rsidRDefault="003307A8" w:rsidP="003307A8">
      <w:r w:rsidRPr="003307A8">
        <w:t>本研究成功地将</w:t>
      </w:r>
      <w:r w:rsidRPr="003307A8">
        <w:t xml:space="preserve"> Yang </w:t>
      </w:r>
      <w:r w:rsidRPr="003307A8">
        <w:t>等人提出的基于集成深度强化学习（</w:t>
      </w:r>
      <w:r w:rsidRPr="003307A8">
        <w:t>Ensemble Deep Reinforcement Learning</w:t>
      </w:r>
      <w:r w:rsidRPr="003307A8">
        <w:t>）的自动化股票交易策略迁移至中国</w:t>
      </w:r>
      <w:r w:rsidRPr="003307A8">
        <w:t>A</w:t>
      </w:r>
      <w:r w:rsidRPr="003307A8">
        <w:t>股市场。通过构建包含印花税、</w:t>
      </w:r>
      <w:r w:rsidRPr="003307A8">
        <w:t xml:space="preserve">T+1 </w:t>
      </w:r>
      <w:r w:rsidRPr="003307A8">
        <w:t>交易限制及湍流指数风控的高仿真</w:t>
      </w:r>
      <w:r w:rsidRPr="003307A8">
        <w:t xml:space="preserve"> A </w:t>
      </w:r>
      <w:r w:rsidRPr="003307A8">
        <w:t>股交易环境，我们对</w:t>
      </w:r>
      <w:r w:rsidRPr="003307A8">
        <w:t xml:space="preserve"> PPO</w:t>
      </w:r>
      <w:r w:rsidRPr="003307A8">
        <w:t>、</w:t>
      </w:r>
      <w:r w:rsidRPr="003307A8">
        <w:t xml:space="preserve">A2C </w:t>
      </w:r>
      <w:r w:rsidRPr="003307A8">
        <w:t>和</w:t>
      </w:r>
      <w:r w:rsidRPr="003307A8">
        <w:t xml:space="preserve"> DDPG </w:t>
      </w:r>
      <w:r w:rsidRPr="003307A8">
        <w:t>三种主流深度强化学习算法进行了全面的实证研究。</w:t>
      </w:r>
    </w:p>
    <w:p w14:paraId="665EEEE0" w14:textId="77777777" w:rsidR="003307A8" w:rsidRPr="003307A8" w:rsidRDefault="003307A8" w:rsidP="003307A8">
      <w:r w:rsidRPr="003307A8">
        <w:t>实验结果强有力地支持了深度强化学习在金融交易领域的有效性。在</w:t>
      </w:r>
      <w:r w:rsidRPr="003307A8">
        <w:t xml:space="preserve"> 2024 </w:t>
      </w:r>
      <w:r w:rsidRPr="003307A8">
        <w:t>年至</w:t>
      </w:r>
      <w:r w:rsidRPr="003307A8">
        <w:t xml:space="preserve"> 2025 </w:t>
      </w:r>
      <w:r w:rsidRPr="003307A8">
        <w:t>年的样本外测试中，表现最优的单一智能体（</w:t>
      </w:r>
      <w:r w:rsidRPr="003307A8">
        <w:t>DDPG</w:t>
      </w:r>
      <w:r w:rsidRPr="003307A8">
        <w:t>）实现了</w:t>
      </w:r>
      <w:r w:rsidRPr="003307A8">
        <w:t xml:space="preserve"> 257.40% </w:t>
      </w:r>
      <w:r w:rsidRPr="003307A8">
        <w:t>的累积收益，夏普比率达到</w:t>
      </w:r>
      <w:r w:rsidRPr="003307A8">
        <w:t xml:space="preserve"> 1.70</w:t>
      </w:r>
      <w:r w:rsidRPr="003307A8">
        <w:t>，显著战胜了同期市场基准（等权重买入持有策略）的</w:t>
      </w:r>
      <w:r w:rsidRPr="003307A8">
        <w:t xml:space="preserve"> 53.64% </w:t>
      </w:r>
      <w:r w:rsidRPr="003307A8">
        <w:t>收益率。这表明，端到端的神经网络能够有效从高维市场状态中提取非线性特征，并学习到具有超额收益（</w:t>
      </w:r>
      <w:r w:rsidRPr="003307A8">
        <w:t>Alpha</w:t>
      </w:r>
      <w:r w:rsidRPr="003307A8">
        <w:t>）的交易策略。</w:t>
      </w:r>
    </w:p>
    <w:p w14:paraId="62FEEB1A" w14:textId="77777777" w:rsidR="003307A8" w:rsidRPr="003307A8" w:rsidRDefault="003307A8" w:rsidP="003307A8">
      <w:r w:rsidRPr="003307A8">
        <w:t>更为重要的是，本研究验证了</w:t>
      </w:r>
      <w:r w:rsidRPr="003307A8">
        <w:t>“</w:t>
      </w:r>
      <w:r w:rsidRPr="003307A8">
        <w:t>集成策略</w:t>
      </w:r>
      <w:r w:rsidRPr="003307A8">
        <w:t>”</w:t>
      </w:r>
      <w:r w:rsidRPr="003307A8">
        <w:t>在应对市场风格切换时的鲁棒性。尽管单一算法（如</w:t>
      </w:r>
      <w:r w:rsidRPr="003307A8">
        <w:t xml:space="preserve"> A2C</w:t>
      </w:r>
      <w:r w:rsidRPr="003307A8">
        <w:t>）在特定时期表现不佳，但基于滚动窗口夏普比率的动态集成机制能够敏锐地识别模型效能的衰减，并及时将交易主导权移交给表现更优的智能体。实验日志显示，集成策略在市场震荡期成功切换至防御性较强的模型，</w:t>
      </w:r>
      <w:r w:rsidRPr="003307A8">
        <w:lastRenderedPageBreak/>
        <w:t>而在趋势明朗期切换回进攻型模型。这种机制在牺牲部分潜在最大收益的同时，显著降低了策略对单一算法的依赖风险，提供了一种更为稳健的长期投资解决方案。</w:t>
      </w:r>
    </w:p>
    <w:p w14:paraId="688E3B94" w14:textId="77777777" w:rsidR="003307A8" w:rsidRPr="003307A8" w:rsidRDefault="003307A8" w:rsidP="003307A8">
      <w:pPr>
        <w:rPr>
          <w:b/>
          <w:bCs/>
        </w:rPr>
      </w:pPr>
      <w:r w:rsidRPr="003307A8">
        <w:rPr>
          <w:b/>
          <w:bCs/>
        </w:rPr>
        <w:t xml:space="preserve">7. </w:t>
      </w:r>
      <w:r w:rsidRPr="003307A8">
        <w:rPr>
          <w:b/>
          <w:bCs/>
        </w:rPr>
        <w:t>不足与未来展望</w:t>
      </w:r>
      <w:r w:rsidRPr="003307A8">
        <w:rPr>
          <w:b/>
          <w:bCs/>
        </w:rPr>
        <w:t xml:space="preserve"> (Limitations and Future Work)</w:t>
      </w:r>
    </w:p>
    <w:p w14:paraId="339095A0" w14:textId="77777777" w:rsidR="003307A8" w:rsidRPr="003307A8" w:rsidRDefault="003307A8" w:rsidP="003307A8">
      <w:r w:rsidRPr="003307A8">
        <w:t>尽管本研究取得了积极成果，但仍存在局限性，值得在未来的工作中进一步探讨：</w:t>
      </w:r>
    </w:p>
    <w:p w14:paraId="4CC8F470" w14:textId="77777777" w:rsidR="003307A8" w:rsidRPr="003307A8" w:rsidRDefault="003307A8" w:rsidP="003307A8">
      <w:r w:rsidRPr="003307A8">
        <w:t>首先，</w:t>
      </w:r>
      <w:r w:rsidRPr="003307A8">
        <w:rPr>
          <w:b/>
          <w:bCs/>
        </w:rPr>
        <w:t>基模型的优化与替换</w:t>
      </w:r>
      <w:r w:rsidRPr="003307A8">
        <w:t>。实验中发现</w:t>
      </w:r>
      <w:r w:rsidRPr="003307A8">
        <w:t xml:space="preserve"> A2C </w:t>
      </w:r>
      <w:r w:rsidRPr="003307A8">
        <w:t>算法在</w:t>
      </w:r>
      <w:r w:rsidRPr="003307A8">
        <w:t xml:space="preserve"> A </w:t>
      </w:r>
      <w:r w:rsidRPr="003307A8">
        <w:t>股环境下的表现显著弱于预期，这可能拖累了集成策略的整体上限。未来的研究可以考虑引入更先进的算法，如软演员</w:t>
      </w:r>
      <w:r w:rsidRPr="003307A8">
        <w:t>-</w:t>
      </w:r>
      <w:r w:rsidRPr="003307A8">
        <w:t>评论家（</w:t>
      </w:r>
      <w:r w:rsidRPr="003307A8">
        <w:t>Soft Actor-Critic, SAC</w:t>
      </w:r>
      <w:r w:rsidRPr="003307A8">
        <w:t>）或双延迟深度确定性策略梯度（</w:t>
      </w:r>
      <w:r w:rsidRPr="003307A8">
        <w:t>TD3</w:t>
      </w:r>
      <w:r w:rsidRPr="003307A8">
        <w:t>），以替代表现较弱的基模型，进一步提升集成库的整体质量。</w:t>
      </w:r>
    </w:p>
    <w:p w14:paraId="54565A4F" w14:textId="77777777" w:rsidR="003307A8" w:rsidRPr="003307A8" w:rsidRDefault="003307A8" w:rsidP="003307A8">
      <w:r w:rsidRPr="003307A8">
        <w:t>其次，</w:t>
      </w:r>
      <w:r w:rsidRPr="003307A8">
        <w:rPr>
          <w:b/>
          <w:bCs/>
        </w:rPr>
        <w:t>状态空间的扩展</w:t>
      </w:r>
      <w:r w:rsidRPr="003307A8">
        <w:t>。目前的状态空间主要依赖于量价数据（</w:t>
      </w:r>
      <w:r w:rsidRPr="003307A8">
        <w:t>OHLCV</w:t>
      </w:r>
      <w:r w:rsidRPr="003307A8">
        <w:t>）和传统技术指标。然而，</w:t>
      </w:r>
      <w:r w:rsidRPr="003307A8">
        <w:t>A</w:t>
      </w:r>
      <w:r w:rsidRPr="003307A8">
        <w:t>股市场受政策导向和宏观经济影响显著。未来可以尝试引入宏观经济指标（如利率、汇率）、基本面因子（如市盈率、</w:t>
      </w:r>
      <w:r w:rsidRPr="003307A8">
        <w:t>ROE</w:t>
      </w:r>
      <w:r w:rsidRPr="003307A8">
        <w:t>）甚至基于自然语言处理（</w:t>
      </w:r>
      <w:r w:rsidRPr="003307A8">
        <w:t>NLP</w:t>
      </w:r>
      <w:r w:rsidRPr="003307A8">
        <w:t>）的财经新闻情感分数，构建多模态的状态输入，以增强模型对市场突发事件的感知能力。</w:t>
      </w:r>
    </w:p>
    <w:p w14:paraId="0FD35893" w14:textId="77777777" w:rsidR="003307A8" w:rsidRPr="003307A8" w:rsidRDefault="003307A8" w:rsidP="003307A8">
      <w:r w:rsidRPr="003307A8">
        <w:t>最后，</w:t>
      </w:r>
      <w:r w:rsidRPr="003307A8">
        <w:rPr>
          <w:b/>
          <w:bCs/>
        </w:rPr>
        <w:t>微观市场结构的模拟</w:t>
      </w:r>
      <w:r w:rsidRPr="003307A8">
        <w:t>。虽然本研究考虑了交易成本和</w:t>
      </w:r>
      <w:r w:rsidRPr="003307A8">
        <w:t xml:space="preserve"> T+1 </w:t>
      </w:r>
      <w:r w:rsidRPr="003307A8">
        <w:t>规则，但尚未模拟真实交易中的滑点（</w:t>
      </w:r>
      <w:r w:rsidRPr="003307A8">
        <w:t>Slippage</w:t>
      </w:r>
      <w:r w:rsidRPr="003307A8">
        <w:t>）和订单簿深度（</w:t>
      </w:r>
      <w:r w:rsidRPr="003307A8">
        <w:t>Order Book Depth</w:t>
      </w:r>
      <w:r w:rsidRPr="003307A8">
        <w:t>）。在大资金实盘交易中，市场冲击成本不可忽视。未来的工作可以引入基于订单簿的匹配引擎，或在奖励函数中加入流动性惩罚项，使回测结果更加贴近真实的实盘环境。</w:t>
      </w:r>
    </w:p>
    <w:p w14:paraId="39F9CB01" w14:textId="2FE3C7C6" w:rsidR="003307A8" w:rsidRPr="003307A8" w:rsidRDefault="003307A8" w:rsidP="003307A8"/>
    <w:p w14:paraId="3EEDC9C5" w14:textId="77777777" w:rsidR="003307A8" w:rsidRPr="003307A8" w:rsidRDefault="003307A8" w:rsidP="003307A8">
      <w:pPr>
        <w:rPr>
          <w:b/>
          <w:bCs/>
        </w:rPr>
      </w:pPr>
      <w:r w:rsidRPr="003307A8">
        <w:rPr>
          <w:b/>
          <w:bCs/>
        </w:rPr>
        <w:t>参考文献</w:t>
      </w:r>
      <w:r w:rsidRPr="003307A8">
        <w:rPr>
          <w:b/>
          <w:bCs/>
        </w:rPr>
        <w:t xml:space="preserve"> (References)</w:t>
      </w:r>
    </w:p>
    <w:p w14:paraId="43624D54" w14:textId="77777777" w:rsidR="003307A8" w:rsidRPr="003307A8" w:rsidRDefault="003307A8" w:rsidP="003307A8">
      <w:r w:rsidRPr="003307A8">
        <w:t>[1] H. Yang, X.-Y. Liu, S. Zhong, and A. Walid, "Deep reinforcement learning for automated stock trading: An ensemble strategy," arXiv preprint arXiv:2011.09607, 2020.</w:t>
      </w:r>
    </w:p>
    <w:p w14:paraId="2D3D6349" w14:textId="77777777" w:rsidR="003307A8" w:rsidRPr="003307A8" w:rsidRDefault="003307A8" w:rsidP="003307A8">
      <w:r w:rsidRPr="003307A8">
        <w:t>[2] T. P. Lillicrap et al., "Continuous control with deep reinforcement learning," arXiv preprint arXiv:1509.02971, 2015. (DDPG)</w:t>
      </w:r>
    </w:p>
    <w:p w14:paraId="2716C435" w14:textId="77777777" w:rsidR="003307A8" w:rsidRPr="003307A8" w:rsidRDefault="003307A8" w:rsidP="003307A8">
      <w:r w:rsidRPr="003307A8">
        <w:t>[3] J. Schulman, F. Wolski, P. Dhariwal, A. Radford, and O. Klimov, "Proximal policy optimization algorithms," arXiv preprint arXiv:1707.06347, 2017. (PPO)</w:t>
      </w:r>
    </w:p>
    <w:p w14:paraId="2F71F32E" w14:textId="77777777" w:rsidR="003307A8" w:rsidRPr="003307A8" w:rsidRDefault="003307A8" w:rsidP="003307A8">
      <w:r w:rsidRPr="003307A8">
        <w:t>[4] V. Mnih et al., "Asynchronous methods for deep reinforcement learning," in International conference on machine learning, 2016. (A3C/A2C)</w:t>
      </w:r>
    </w:p>
    <w:p w14:paraId="418B01F4" w14:textId="77777777" w:rsidR="003307A8" w:rsidRPr="003307A8" w:rsidRDefault="003307A8" w:rsidP="003307A8">
      <w:r w:rsidRPr="003307A8">
        <w:t>[5] A. Raffin, A. Hill, A. Gleave, A. Kanervisto, M. Ernestus, and N. Dormann, "Stable-</w:t>
      </w:r>
      <w:r w:rsidRPr="003307A8">
        <w:lastRenderedPageBreak/>
        <w:t>Baselines3: Reliable Reinforcement Learning Implementations," Journal of Machine Learning Research, 2021.</w:t>
      </w:r>
    </w:p>
    <w:p w14:paraId="605FF842" w14:textId="14606728" w:rsidR="002249E7" w:rsidRPr="003307A8" w:rsidRDefault="002249E7" w:rsidP="003307A8"/>
    <w:sectPr w:rsidR="002249E7" w:rsidRPr="003307A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930C1" w14:textId="77777777" w:rsidR="00BE0B87" w:rsidRDefault="00BE0B87">
      <w:pPr>
        <w:spacing w:line="240" w:lineRule="auto"/>
      </w:pPr>
      <w:r>
        <w:separator/>
      </w:r>
    </w:p>
  </w:endnote>
  <w:endnote w:type="continuationSeparator" w:id="0">
    <w:p w14:paraId="123AA571" w14:textId="77777777" w:rsidR="00BE0B87" w:rsidRDefault="00BE0B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395080"/>
    </w:sdtPr>
    <w:sdtContent>
      <w:p w14:paraId="1F9104FA" w14:textId="77777777" w:rsidR="002249E7" w:rsidRDefault="00000000">
        <w:pPr>
          <w:pStyle w:val="a5"/>
          <w:jc w:val="center"/>
        </w:pPr>
        <w:r>
          <w:fldChar w:fldCharType="begin"/>
        </w:r>
        <w:r>
          <w:instrText>PAGE   \* MERGEFORMAT</w:instrText>
        </w:r>
        <w:r>
          <w:fldChar w:fldCharType="separate"/>
        </w:r>
        <w:r>
          <w:rPr>
            <w:lang w:val="zh-CN"/>
          </w:rPr>
          <w:t>2</w:t>
        </w:r>
        <w:r>
          <w:fldChar w:fldCharType="end"/>
        </w:r>
      </w:p>
    </w:sdtContent>
  </w:sdt>
  <w:p w14:paraId="1978BCB8" w14:textId="77777777" w:rsidR="002249E7" w:rsidRDefault="002249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264A5" w14:textId="77777777" w:rsidR="00BE0B87" w:rsidRDefault="00BE0B87">
      <w:r>
        <w:separator/>
      </w:r>
    </w:p>
  </w:footnote>
  <w:footnote w:type="continuationSeparator" w:id="0">
    <w:p w14:paraId="114A2DA1" w14:textId="77777777" w:rsidR="00BE0B87" w:rsidRDefault="00BE0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D61509"/>
    <w:multiLevelType w:val="singleLevel"/>
    <w:tmpl w:val="DBD61509"/>
    <w:lvl w:ilvl="0">
      <w:start w:val="1"/>
      <w:numFmt w:val="upperLetter"/>
      <w:suff w:val="space"/>
      <w:lvlText w:val="%1."/>
      <w:lvlJc w:val="left"/>
    </w:lvl>
  </w:abstractNum>
  <w:abstractNum w:abstractNumId="1" w15:restartNumberingAfterBreak="0">
    <w:nsid w:val="04821698"/>
    <w:multiLevelType w:val="multilevel"/>
    <w:tmpl w:val="0432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15D60"/>
    <w:multiLevelType w:val="multilevel"/>
    <w:tmpl w:val="F28E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305B1"/>
    <w:multiLevelType w:val="multilevel"/>
    <w:tmpl w:val="2D3C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2222D"/>
    <w:multiLevelType w:val="multilevel"/>
    <w:tmpl w:val="C5DC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13522"/>
    <w:multiLevelType w:val="multilevel"/>
    <w:tmpl w:val="092C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70B85"/>
    <w:multiLevelType w:val="multilevel"/>
    <w:tmpl w:val="33270B85"/>
    <w:lvl w:ilvl="0">
      <w:start w:val="1"/>
      <w:numFmt w:val="decimal"/>
      <w:lvlText w:val="%1"/>
      <w:lvlJc w:val="left"/>
      <w:pPr>
        <w:ind w:left="360" w:hanging="360"/>
      </w:pPr>
      <w:rPr>
        <w:rFonts w:ascii="Times New Roman" w:eastAsia="宋体" w:hAnsi="Times New Roman" w:cs="Times New Roman"/>
      </w:rPr>
    </w:lvl>
    <w:lvl w:ilvl="1">
      <w:start w:val="1"/>
      <w:numFmt w:val="decimal"/>
      <w:isLgl/>
      <w:lvlText w:val="%1.%2"/>
      <w:lvlJc w:val="left"/>
      <w:pPr>
        <w:ind w:left="490" w:hanging="4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191CB4"/>
    <w:multiLevelType w:val="multilevel"/>
    <w:tmpl w:val="AE2E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983CFC"/>
    <w:multiLevelType w:val="multilevel"/>
    <w:tmpl w:val="A386D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7450388">
    <w:abstractNumId w:val="6"/>
  </w:num>
  <w:num w:numId="2" w16cid:durableId="1688601063">
    <w:abstractNumId w:val="0"/>
  </w:num>
  <w:num w:numId="3" w16cid:durableId="1274363412">
    <w:abstractNumId w:val="7"/>
  </w:num>
  <w:num w:numId="4" w16cid:durableId="744448670">
    <w:abstractNumId w:val="1"/>
  </w:num>
  <w:num w:numId="5" w16cid:durableId="2133091600">
    <w:abstractNumId w:val="3"/>
  </w:num>
  <w:num w:numId="6" w16cid:durableId="1764034300">
    <w:abstractNumId w:val="8"/>
  </w:num>
  <w:num w:numId="7" w16cid:durableId="552623016">
    <w:abstractNumId w:val="4"/>
  </w:num>
  <w:num w:numId="8" w16cid:durableId="1339577830">
    <w:abstractNumId w:val="2"/>
  </w:num>
  <w:num w:numId="9" w16cid:durableId="194056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68"/>
    <w:rsid w:val="0001152B"/>
    <w:rsid w:val="000701D4"/>
    <w:rsid w:val="000C76E7"/>
    <w:rsid w:val="000D44FE"/>
    <w:rsid w:val="000F58E7"/>
    <w:rsid w:val="00116EDE"/>
    <w:rsid w:val="002249E7"/>
    <w:rsid w:val="0023314E"/>
    <w:rsid w:val="003307A8"/>
    <w:rsid w:val="003516CC"/>
    <w:rsid w:val="0035180D"/>
    <w:rsid w:val="00415668"/>
    <w:rsid w:val="005320F3"/>
    <w:rsid w:val="00580CB0"/>
    <w:rsid w:val="005B491B"/>
    <w:rsid w:val="00832B82"/>
    <w:rsid w:val="00841932"/>
    <w:rsid w:val="00870D22"/>
    <w:rsid w:val="008C0025"/>
    <w:rsid w:val="008D1382"/>
    <w:rsid w:val="008F4E0C"/>
    <w:rsid w:val="00901570"/>
    <w:rsid w:val="00911871"/>
    <w:rsid w:val="00940704"/>
    <w:rsid w:val="00986232"/>
    <w:rsid w:val="009A4FD4"/>
    <w:rsid w:val="009D16E4"/>
    <w:rsid w:val="009F0A17"/>
    <w:rsid w:val="00A17B70"/>
    <w:rsid w:val="00B23EDD"/>
    <w:rsid w:val="00BC5841"/>
    <w:rsid w:val="00BD1C81"/>
    <w:rsid w:val="00BE0B87"/>
    <w:rsid w:val="00C116A4"/>
    <w:rsid w:val="00C916B9"/>
    <w:rsid w:val="00C9376B"/>
    <w:rsid w:val="00C97A5F"/>
    <w:rsid w:val="00D23AD9"/>
    <w:rsid w:val="00D37EAE"/>
    <w:rsid w:val="00E01655"/>
    <w:rsid w:val="00E10DCB"/>
    <w:rsid w:val="00E17E4C"/>
    <w:rsid w:val="00ED36E9"/>
    <w:rsid w:val="00F0751D"/>
    <w:rsid w:val="00FB160D"/>
    <w:rsid w:val="00FF3ADB"/>
    <w:rsid w:val="045A6A03"/>
    <w:rsid w:val="050634BB"/>
    <w:rsid w:val="08CE2541"/>
    <w:rsid w:val="157E7260"/>
    <w:rsid w:val="1660321B"/>
    <w:rsid w:val="18BA663E"/>
    <w:rsid w:val="1A7F3DF7"/>
    <w:rsid w:val="49F033BE"/>
    <w:rsid w:val="4F817D66"/>
    <w:rsid w:val="55110DB9"/>
    <w:rsid w:val="57EF351F"/>
    <w:rsid w:val="651D4188"/>
    <w:rsid w:val="68525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CFC61"/>
  <w15:docId w15:val="{C38F18EA-9C57-49AF-B4DF-64DCE813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color w:val="000000"/>
      <w:sz w:val="24"/>
      <w:szCs w:val="21"/>
    </w:rPr>
  </w:style>
  <w:style w:type="paragraph" w:styleId="1">
    <w:name w:val="heading 1"/>
    <w:basedOn w:val="a"/>
    <w:next w:val="a"/>
    <w:link w:val="10"/>
    <w:uiPriority w:val="9"/>
    <w:qFormat/>
    <w:pPr>
      <w:keepNext/>
      <w:keepLines/>
      <w:spacing w:before="120" w:after="120"/>
      <w:outlineLvl w:val="0"/>
    </w:pPr>
    <w:rPr>
      <w:b/>
      <w:bCs/>
      <w:kern w:val="44"/>
      <w:sz w:val="30"/>
      <w:szCs w:val="44"/>
    </w:rPr>
  </w:style>
  <w:style w:type="paragraph" w:styleId="2">
    <w:name w:val="heading 2"/>
    <w:basedOn w:val="a"/>
    <w:next w:val="a"/>
    <w:link w:val="20"/>
    <w:uiPriority w:val="9"/>
    <w:unhideWhenUsed/>
    <w:qFormat/>
    <w:pPr>
      <w:spacing w:before="120" w:after="12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pPr>
      <w:keepNext/>
      <w:keepLines/>
      <w:spacing w:before="120" w:after="120"/>
      <w:outlineLvl w:val="2"/>
    </w:pPr>
    <w:rPr>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color w:val="auto"/>
      <w:sz w:val="22"/>
      <w:szCs w:val="22"/>
    </w:rPr>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color w:val="auto"/>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asciiTheme="minorHAnsi" w:eastAsiaTheme="minorEastAsia" w:hAnsiTheme="minorHAnsi"/>
      <w:color w:val="auto"/>
      <w:sz w:val="22"/>
      <w:szCs w:val="22"/>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paragraph" w:styleId="a9">
    <w:name w:val="Normal (Web)"/>
    <w:basedOn w:val="a"/>
    <w:uiPriority w:val="99"/>
    <w:unhideWhenUsed/>
    <w:qFormat/>
    <w:pPr>
      <w:widowControl/>
      <w:spacing w:before="100" w:beforeAutospacing="1" w:after="100" w:afterAutospacing="1" w:line="240" w:lineRule="auto"/>
      <w:jc w:val="left"/>
    </w:pPr>
    <w:rPr>
      <w:rFonts w:ascii="宋体" w:hAnsi="宋体" w:cs="宋体"/>
      <w:color w:val="auto"/>
      <w:szCs w:val="24"/>
    </w:rPr>
  </w:style>
  <w:style w:type="paragraph" w:styleId="aa">
    <w:name w:val="Title"/>
    <w:basedOn w:val="a"/>
    <w:next w:val="a"/>
    <w:link w:val="ab"/>
    <w:uiPriority w:val="10"/>
    <w:qFormat/>
    <w:pPr>
      <w:spacing w:before="120" w:after="120"/>
      <w:jc w:val="center"/>
      <w:outlineLvl w:val="0"/>
    </w:pPr>
    <w:rPr>
      <w:rFonts w:asciiTheme="majorHAnsi" w:hAnsiTheme="majorHAnsi" w:cstheme="majorBidi"/>
      <w:b/>
      <w:bCs/>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0563C1" w:themeColor="hyperlink"/>
      <w:u w:val="single"/>
    </w:rPr>
  </w:style>
  <w:style w:type="character" w:customStyle="1" w:styleId="a4">
    <w:name w:val="日期 字符"/>
    <w:basedOn w:val="a0"/>
    <w:link w:val="a3"/>
    <w:uiPriority w:val="99"/>
    <w:semiHidden/>
    <w:qFormat/>
    <w:rPr>
      <w:rFonts w:ascii="Times New Roman" w:hAnsi="Times New Roman"/>
    </w:rPr>
  </w:style>
  <w:style w:type="character" w:customStyle="1" w:styleId="10">
    <w:name w:val="标题 1 字符"/>
    <w:basedOn w:val="a0"/>
    <w:link w:val="1"/>
    <w:uiPriority w:val="9"/>
    <w:qFormat/>
    <w:rPr>
      <w:rFonts w:ascii="Times New Roman" w:hAnsi="Times New Roman"/>
      <w:b/>
      <w:bCs/>
      <w:kern w:val="44"/>
      <w:sz w:val="30"/>
      <w:szCs w:val="44"/>
    </w:rPr>
  </w:style>
  <w:style w:type="character" w:customStyle="1" w:styleId="20">
    <w:name w:val="标题 2 字符"/>
    <w:basedOn w:val="a0"/>
    <w:link w:val="2"/>
    <w:uiPriority w:val="9"/>
    <w:qFormat/>
    <w:rPr>
      <w:rFonts w:asciiTheme="majorHAnsi" w:hAnsiTheme="majorHAnsi" w:cstheme="majorBidi"/>
      <w:b/>
      <w:bCs/>
      <w:sz w:val="28"/>
      <w:szCs w:val="32"/>
    </w:rPr>
  </w:style>
  <w:style w:type="character" w:customStyle="1" w:styleId="ab">
    <w:name w:val="标题 字符"/>
    <w:basedOn w:val="a0"/>
    <w:link w:val="aa"/>
    <w:uiPriority w:val="10"/>
    <w:qFormat/>
    <w:rPr>
      <w:rFonts w:asciiTheme="majorHAnsi" w:hAnsiTheme="majorHAnsi" w:cstheme="majorBidi"/>
      <w:b/>
      <w:bCs/>
      <w:sz w:val="24"/>
      <w:szCs w:val="32"/>
    </w:rPr>
  </w:style>
  <w:style w:type="character" w:customStyle="1" w:styleId="a8">
    <w:name w:val="页眉 字符"/>
    <w:basedOn w:val="a0"/>
    <w:link w:val="a7"/>
    <w:uiPriority w:val="99"/>
    <w:qFormat/>
    <w:rPr>
      <w:rFonts w:ascii="Times New Roman" w:hAnsi="Times New Roman"/>
      <w:sz w:val="18"/>
      <w:szCs w:val="18"/>
    </w:rPr>
  </w:style>
  <w:style w:type="character" w:customStyle="1" w:styleId="a6">
    <w:name w:val="页脚 字符"/>
    <w:basedOn w:val="a0"/>
    <w:link w:val="a5"/>
    <w:uiPriority w:val="99"/>
    <w:qFormat/>
    <w:rPr>
      <w:rFonts w:ascii="Times New Roman" w:hAnsi="Times New Roman"/>
      <w:sz w:val="18"/>
      <w:szCs w:val="18"/>
    </w:rPr>
  </w:style>
  <w:style w:type="paragraph" w:styleId="af">
    <w:name w:val="List Paragraph"/>
    <w:basedOn w:val="a"/>
    <w:uiPriority w:val="34"/>
    <w:qFormat/>
    <w:pPr>
      <w:ind w:firstLineChars="200" w:firstLine="420"/>
    </w:pPr>
  </w:style>
  <w:style w:type="character" w:customStyle="1" w:styleId="30">
    <w:name w:val="标题 3 字符"/>
    <w:basedOn w:val="a0"/>
    <w:link w:val="3"/>
    <w:uiPriority w:val="9"/>
    <w:qFormat/>
    <w:rPr>
      <w:rFonts w:ascii="Times New Roman" w:hAnsi="Times New Roman"/>
      <w:b/>
      <w:bCs/>
      <w:sz w:val="24"/>
      <w:szCs w:val="32"/>
    </w:rPr>
  </w:style>
  <w:style w:type="character" w:customStyle="1" w:styleId="text-ellipsis">
    <w:name w:val="text-ellipsis"/>
    <w:basedOn w:val="a0"/>
    <w:qFormat/>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仿宋"/>
        <a:cs typeface=""/>
      </a:majorFont>
      <a:minorFont>
        <a:latin typeface="Times New Roman"/>
        <a:ea typeface="仿宋"/>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11</Pages>
  <Words>4505</Words>
  <Characters>5858</Characters>
  <Application>Microsoft Office Word</Application>
  <DocSecurity>0</DocSecurity>
  <Lines>418</Lines>
  <Paragraphs>493</Paragraphs>
  <ScaleCrop>false</ScaleCrop>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一阳 耿</dc:creator>
  <cp:lastModifiedBy>liangjian_sufe@163.com</cp:lastModifiedBy>
  <cp:revision>13</cp:revision>
  <cp:lastPrinted>2024-12-16T16:22:00Z</cp:lastPrinted>
  <dcterms:created xsi:type="dcterms:W3CDTF">2024-12-16T00:09:00Z</dcterms:created>
  <dcterms:modified xsi:type="dcterms:W3CDTF">2025-12-31T05:50:00Z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eyJoZGlkIjoiMWEyOWJkNTJkMDdmM2ZmYTA1ZTlmN2RjNDZkNTg5ZGQiLCJ1c2VySWQiOiIxNzQ3NTQ3ODc4In0=</vt:lpwstr>
  </property>
  <property fmtid="{D5CDD505-2E9C-101B-9397-08002B2CF9AE}" pid="3" name="KSOProductBuildVer">
    <vt:lpwstr>2052-12.1.0.23542</vt:lpwstr>
  </property>
  <property fmtid="{D5CDD505-2E9C-101B-9397-08002B2CF9AE}" pid="4" name="ICV">
    <vt:lpwstr>7E975D9FDABC4E7D8D8E2F631E0CEE06_12</vt:lpwstr>
  </property>
  <property fmtid="{D5CDD505-2E9C-101B-9397-08002B2CF9AE}" pid="5" name="BD_Document_Page_Count">
    <vt:lpwstr>11</vt:lpwstr>
  </property>
</Properties>
</file>