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20C7C">
      <w:pPr>
        <w:jc w:val="center"/>
      </w:pPr>
      <w:r>
        <w:drawing>
          <wp:inline distT="0" distB="0" distL="114300" distR="114300">
            <wp:extent cx="2762250" cy="1028700"/>
            <wp:effectExtent l="0" t="0" r="635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2762250" cy="1028700"/>
                    </a:xfrm>
                    <a:prstGeom prst="rect">
                      <a:avLst/>
                    </a:prstGeom>
                    <a:noFill/>
                    <a:ln>
                      <a:noFill/>
                    </a:ln>
                  </pic:spPr>
                </pic:pic>
              </a:graphicData>
            </a:graphic>
          </wp:inline>
        </w:drawing>
      </w:r>
    </w:p>
    <w:p w14:paraId="6C45A6C5">
      <w:pPr>
        <w:jc w:val="center"/>
      </w:pPr>
    </w:p>
    <w:p w14:paraId="471BB679">
      <w:pPr>
        <w:jc w:val="center"/>
      </w:pPr>
    </w:p>
    <w:p w14:paraId="1DD76540">
      <w:pPr>
        <w:jc w:val="center"/>
      </w:pPr>
    </w:p>
    <w:p w14:paraId="13B78441">
      <w:pPr>
        <w:jc w:val="both"/>
        <w:rPr>
          <w:rFonts w:hint="eastAsia" w:ascii="黑体" w:hAnsi="黑体" w:eastAsia="黑体"/>
          <w:b/>
          <w:bCs/>
          <w:sz w:val="44"/>
          <w:szCs w:val="44"/>
        </w:rPr>
      </w:pPr>
    </w:p>
    <w:p w14:paraId="3E424A17">
      <w:pPr>
        <w:jc w:val="center"/>
        <w:rPr>
          <w:rFonts w:ascii="宋体" w:hAnsi="宋体"/>
          <w:b/>
          <w:bCs/>
          <w:sz w:val="48"/>
          <w:szCs w:val="48"/>
        </w:rPr>
      </w:pPr>
      <w:r>
        <w:rPr>
          <w:rFonts w:hint="eastAsia" w:ascii="宋体" w:hAnsi="宋体"/>
          <w:b/>
          <w:bCs/>
          <w:sz w:val="48"/>
          <w:szCs w:val="48"/>
        </w:rPr>
        <w:t>《</w:t>
      </w:r>
      <w:r>
        <w:rPr>
          <w:rFonts w:ascii="宋体" w:hAnsi="宋体" w:eastAsia="宋体" w:cs="宋体"/>
          <w:b/>
          <w:bCs/>
          <w:sz w:val="48"/>
          <w:szCs w:val="48"/>
        </w:rPr>
        <w:t>基于多变量回归分析的糖尿病病情进展</w:t>
      </w:r>
      <w:bookmarkStart w:id="25" w:name="_GoBack"/>
      <w:bookmarkEnd w:id="25"/>
      <w:r>
        <w:rPr>
          <w:rFonts w:ascii="宋体" w:hAnsi="宋体" w:eastAsia="宋体" w:cs="宋体"/>
          <w:b/>
          <w:bCs/>
          <w:sz w:val="48"/>
          <w:szCs w:val="48"/>
        </w:rPr>
        <w:t>研究</w:t>
      </w:r>
      <w:r>
        <w:rPr>
          <w:rFonts w:hint="eastAsia" w:ascii="宋体" w:hAnsi="宋体"/>
          <w:b/>
          <w:bCs/>
          <w:sz w:val="48"/>
          <w:szCs w:val="48"/>
        </w:rPr>
        <w:t>》</w:t>
      </w:r>
    </w:p>
    <w:p w14:paraId="10213AA3">
      <w:pPr>
        <w:jc w:val="center"/>
        <w:rPr>
          <w:rFonts w:ascii="黑体" w:hAnsi="黑体" w:eastAsia="黑体"/>
          <w:b/>
          <w:bCs/>
          <w:sz w:val="36"/>
          <w:szCs w:val="36"/>
        </w:rPr>
      </w:pPr>
    </w:p>
    <w:p w14:paraId="65D3475E">
      <w:pPr>
        <w:jc w:val="center"/>
        <w:rPr>
          <w:rFonts w:ascii="黑体" w:hAnsi="黑体" w:eastAsia="黑体"/>
          <w:b/>
          <w:bCs/>
          <w:sz w:val="36"/>
          <w:szCs w:val="36"/>
        </w:rPr>
      </w:pPr>
    </w:p>
    <w:p w14:paraId="0635D7B2">
      <w:pPr>
        <w:jc w:val="both"/>
        <w:rPr>
          <w:rFonts w:ascii="黑体" w:hAnsi="黑体" w:eastAsia="黑体"/>
          <w:b/>
          <w:bCs/>
          <w:sz w:val="36"/>
          <w:szCs w:val="36"/>
        </w:rPr>
      </w:pPr>
    </w:p>
    <w:p w14:paraId="7510F918">
      <w:pPr>
        <w:jc w:val="both"/>
        <w:rPr>
          <w:rFonts w:hint="eastAsia" w:ascii="黑体" w:hAnsi="黑体" w:eastAsia="黑体"/>
          <w:b/>
          <w:bCs/>
          <w:sz w:val="36"/>
          <w:szCs w:val="36"/>
        </w:rPr>
      </w:pPr>
    </w:p>
    <w:tbl>
      <w:tblPr>
        <w:tblStyle w:val="15"/>
        <w:tblW w:w="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9"/>
        <w:gridCol w:w="538"/>
        <w:gridCol w:w="5133"/>
      </w:tblGrid>
      <w:tr w14:paraId="05EF3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34" w:type="dxa"/>
            <w:vAlign w:val="bottom"/>
          </w:tcPr>
          <w:p w14:paraId="2730F9EB">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pacing w:val="404"/>
                <w:kern w:val="0"/>
                <w:sz w:val="32"/>
                <w:szCs w:val="32"/>
                <w:fitText w:val="1448" w:id="-863893248"/>
              </w:rPr>
              <w:t>姓</w:t>
            </w:r>
            <w:r>
              <w:rPr>
                <w:rFonts w:hint="eastAsia" w:ascii="宋体" w:hAnsi="宋体"/>
                <w:b/>
                <w:bCs/>
                <w:spacing w:val="0"/>
                <w:kern w:val="0"/>
                <w:sz w:val="32"/>
                <w:szCs w:val="32"/>
                <w:fitText w:val="1448" w:id="-863893248"/>
              </w:rPr>
              <w:t>名</w:t>
            </w:r>
          </w:p>
        </w:tc>
        <w:tc>
          <w:tcPr>
            <w:tcW w:w="236" w:type="dxa"/>
            <w:vAlign w:val="bottom"/>
          </w:tcPr>
          <w:p w14:paraId="1CF06AF0">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z w:val="32"/>
                <w:szCs w:val="32"/>
              </w:rPr>
              <w:t>：</w:t>
            </w:r>
          </w:p>
        </w:tc>
        <w:tc>
          <w:tcPr>
            <w:tcW w:w="5133" w:type="dxa"/>
            <w:tcBorders>
              <w:bottom w:val="single" w:color="auto" w:sz="8" w:space="0"/>
            </w:tcBorders>
            <w:vAlign w:val="bottom"/>
          </w:tcPr>
          <w:p w14:paraId="4E43465D">
            <w:pPr>
              <w:keepNext w:val="0"/>
              <w:keepLines w:val="0"/>
              <w:suppressLineNumbers w:val="0"/>
              <w:spacing w:before="0" w:beforeAutospacing="0" w:after="0" w:afterAutospacing="0" w:line="240" w:lineRule="auto"/>
              <w:ind w:left="0" w:right="0"/>
              <w:jc w:val="center"/>
              <w:textAlignment w:val="bottom"/>
              <w:rPr>
                <w:rFonts w:hint="eastAsia" w:ascii="宋体" w:hAnsi="宋体"/>
                <w:b/>
                <w:bCs/>
                <w:sz w:val="32"/>
                <w:szCs w:val="32"/>
              </w:rPr>
            </w:pPr>
            <w:r>
              <w:rPr>
                <w:rFonts w:hint="eastAsia" w:ascii="宋体" w:hAnsi="宋体"/>
                <w:b/>
                <w:bCs/>
                <w:sz w:val="32"/>
                <w:szCs w:val="32"/>
              </w:rPr>
              <w:t>耿一阳</w:t>
            </w:r>
          </w:p>
        </w:tc>
      </w:tr>
      <w:tr w14:paraId="2CE8C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34" w:type="dxa"/>
            <w:vAlign w:val="bottom"/>
          </w:tcPr>
          <w:p w14:paraId="45BA00D9">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pacing w:val="404"/>
                <w:kern w:val="0"/>
                <w:sz w:val="32"/>
                <w:szCs w:val="32"/>
                <w:fitText w:val="1448" w:id="-863893247"/>
              </w:rPr>
              <w:t>学</w:t>
            </w:r>
            <w:r>
              <w:rPr>
                <w:rFonts w:hint="eastAsia" w:ascii="宋体" w:hAnsi="宋体"/>
                <w:b/>
                <w:bCs/>
                <w:spacing w:val="0"/>
                <w:kern w:val="0"/>
                <w:sz w:val="32"/>
                <w:szCs w:val="32"/>
                <w:fitText w:val="1448" w:id="-863893247"/>
              </w:rPr>
              <w:t>号</w:t>
            </w:r>
          </w:p>
        </w:tc>
        <w:tc>
          <w:tcPr>
            <w:tcW w:w="236" w:type="dxa"/>
            <w:vAlign w:val="bottom"/>
          </w:tcPr>
          <w:p w14:paraId="0BBF6079">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z w:val="32"/>
                <w:szCs w:val="32"/>
              </w:rPr>
              <w:t>：</w:t>
            </w:r>
          </w:p>
        </w:tc>
        <w:tc>
          <w:tcPr>
            <w:tcW w:w="5133" w:type="dxa"/>
            <w:tcBorders>
              <w:top w:val="single" w:color="auto" w:sz="8" w:space="0"/>
              <w:bottom w:val="single" w:color="auto" w:sz="8" w:space="0"/>
            </w:tcBorders>
            <w:vAlign w:val="bottom"/>
          </w:tcPr>
          <w:p w14:paraId="47E4BB0D">
            <w:pPr>
              <w:keepNext w:val="0"/>
              <w:keepLines w:val="0"/>
              <w:suppressLineNumbers w:val="0"/>
              <w:spacing w:before="0" w:beforeAutospacing="0" w:after="0" w:afterAutospacing="0" w:line="240" w:lineRule="auto"/>
              <w:ind w:left="0" w:right="0"/>
              <w:jc w:val="center"/>
              <w:textAlignment w:val="bottom"/>
              <w:rPr>
                <w:rFonts w:hint="default" w:ascii="宋体" w:hAnsi="宋体" w:eastAsia="宋体"/>
                <w:b/>
                <w:bCs/>
                <w:sz w:val="32"/>
                <w:szCs w:val="32"/>
                <w:lang w:val="en-US" w:eastAsia="zh-CN"/>
              </w:rPr>
            </w:pPr>
            <w:r>
              <w:rPr>
                <w:rFonts w:hint="eastAsia" w:ascii="宋体" w:hAnsi="宋体"/>
                <w:b/>
                <w:bCs/>
                <w:sz w:val="32"/>
                <w:szCs w:val="32"/>
                <w:lang w:val="en-US" w:eastAsia="zh-CN"/>
              </w:rPr>
              <w:t>25210840002</w:t>
            </w:r>
          </w:p>
        </w:tc>
      </w:tr>
      <w:tr w14:paraId="17BFE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34" w:type="dxa"/>
            <w:vAlign w:val="bottom"/>
          </w:tcPr>
          <w:p w14:paraId="79CBF9D3">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pacing w:val="404"/>
                <w:kern w:val="0"/>
                <w:sz w:val="32"/>
                <w:szCs w:val="32"/>
                <w:fitText w:val="1448" w:id="-863893246"/>
              </w:rPr>
              <w:t>院</w:t>
            </w:r>
            <w:r>
              <w:rPr>
                <w:rFonts w:hint="eastAsia" w:ascii="宋体" w:hAnsi="宋体"/>
                <w:b/>
                <w:bCs/>
                <w:spacing w:val="0"/>
                <w:kern w:val="0"/>
                <w:sz w:val="32"/>
                <w:szCs w:val="32"/>
                <w:fitText w:val="1448" w:id="-863893246"/>
              </w:rPr>
              <w:t>系</w:t>
            </w:r>
          </w:p>
        </w:tc>
        <w:tc>
          <w:tcPr>
            <w:tcW w:w="236" w:type="dxa"/>
            <w:vAlign w:val="bottom"/>
          </w:tcPr>
          <w:p w14:paraId="213BFDFA">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z w:val="32"/>
                <w:szCs w:val="32"/>
              </w:rPr>
              <w:t>：</w:t>
            </w:r>
          </w:p>
        </w:tc>
        <w:tc>
          <w:tcPr>
            <w:tcW w:w="5133" w:type="dxa"/>
            <w:tcBorders>
              <w:top w:val="single" w:color="auto" w:sz="8" w:space="0"/>
              <w:bottom w:val="single" w:color="auto" w:sz="8" w:space="0"/>
            </w:tcBorders>
            <w:vAlign w:val="bottom"/>
          </w:tcPr>
          <w:p w14:paraId="158B3012">
            <w:pPr>
              <w:keepNext w:val="0"/>
              <w:keepLines w:val="0"/>
              <w:suppressLineNumbers w:val="0"/>
              <w:spacing w:before="0" w:beforeAutospacing="0" w:after="0" w:afterAutospacing="0" w:line="240" w:lineRule="auto"/>
              <w:ind w:left="0" w:right="0"/>
              <w:jc w:val="center"/>
              <w:textAlignment w:val="bottom"/>
              <w:rPr>
                <w:rFonts w:hint="eastAsia" w:ascii="宋体" w:hAnsi="宋体" w:eastAsia="宋体"/>
                <w:b/>
                <w:bCs/>
                <w:sz w:val="32"/>
                <w:szCs w:val="32"/>
                <w:lang w:eastAsia="zh-CN"/>
              </w:rPr>
            </w:pPr>
            <w:r>
              <w:rPr>
                <w:rFonts w:hint="eastAsia" w:ascii="宋体" w:hAnsi="宋体"/>
                <w:b/>
                <w:bCs/>
                <w:sz w:val="32"/>
                <w:szCs w:val="32"/>
                <w:lang w:val="en-US" w:eastAsia="zh-CN"/>
              </w:rPr>
              <w:t>上海数学中心</w:t>
            </w:r>
          </w:p>
        </w:tc>
      </w:tr>
      <w:tr w14:paraId="7454F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34" w:type="dxa"/>
            <w:vAlign w:val="bottom"/>
          </w:tcPr>
          <w:p w14:paraId="3898A590">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pacing w:val="404"/>
                <w:kern w:val="0"/>
                <w:sz w:val="32"/>
                <w:szCs w:val="32"/>
                <w:fitText w:val="1448" w:id="-863893245"/>
              </w:rPr>
              <w:t>专</w:t>
            </w:r>
            <w:r>
              <w:rPr>
                <w:rFonts w:hint="eastAsia" w:ascii="宋体" w:hAnsi="宋体"/>
                <w:b/>
                <w:bCs/>
                <w:spacing w:val="0"/>
                <w:kern w:val="0"/>
                <w:sz w:val="32"/>
                <w:szCs w:val="32"/>
                <w:fitText w:val="1448" w:id="-863893245"/>
              </w:rPr>
              <w:t>业</w:t>
            </w:r>
          </w:p>
        </w:tc>
        <w:tc>
          <w:tcPr>
            <w:tcW w:w="236" w:type="dxa"/>
            <w:vAlign w:val="bottom"/>
          </w:tcPr>
          <w:p w14:paraId="531449F2">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z w:val="32"/>
                <w:szCs w:val="32"/>
              </w:rPr>
              <w:t>：</w:t>
            </w:r>
          </w:p>
        </w:tc>
        <w:tc>
          <w:tcPr>
            <w:tcW w:w="5133" w:type="dxa"/>
            <w:tcBorders>
              <w:top w:val="single" w:color="auto" w:sz="8" w:space="0"/>
              <w:bottom w:val="single" w:color="auto" w:sz="8" w:space="0"/>
            </w:tcBorders>
            <w:vAlign w:val="bottom"/>
          </w:tcPr>
          <w:p w14:paraId="4C65B170">
            <w:pPr>
              <w:keepNext w:val="0"/>
              <w:keepLines w:val="0"/>
              <w:suppressLineNumbers w:val="0"/>
              <w:spacing w:before="0" w:beforeAutospacing="0" w:after="0" w:afterAutospacing="0" w:line="240" w:lineRule="auto"/>
              <w:ind w:left="0" w:right="0"/>
              <w:jc w:val="center"/>
              <w:textAlignment w:val="bottom"/>
              <w:rPr>
                <w:rFonts w:hint="eastAsia" w:ascii="宋体" w:hAnsi="宋体" w:eastAsia="宋体"/>
                <w:b/>
                <w:bCs/>
                <w:sz w:val="32"/>
                <w:szCs w:val="32"/>
                <w:lang w:eastAsia="zh-CN"/>
              </w:rPr>
            </w:pPr>
            <w:r>
              <w:rPr>
                <w:rFonts w:hint="eastAsia" w:ascii="宋体" w:hAnsi="宋体"/>
                <w:b/>
                <w:bCs/>
                <w:sz w:val="32"/>
                <w:szCs w:val="32"/>
                <w:lang w:val="en-US" w:eastAsia="zh-CN"/>
              </w:rPr>
              <w:t>应用统计</w:t>
            </w:r>
          </w:p>
        </w:tc>
      </w:tr>
      <w:tr w14:paraId="37BBE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134" w:type="dxa"/>
            <w:vAlign w:val="bottom"/>
          </w:tcPr>
          <w:p w14:paraId="7BB1E5FA">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pacing w:val="28"/>
                <w:kern w:val="0"/>
                <w:sz w:val="32"/>
                <w:szCs w:val="32"/>
                <w:fitText w:val="1448" w:id="-863893244"/>
              </w:rPr>
              <w:t>任课教</w:t>
            </w:r>
            <w:r>
              <w:rPr>
                <w:rFonts w:hint="eastAsia" w:ascii="宋体" w:hAnsi="宋体"/>
                <w:b/>
                <w:bCs/>
                <w:spacing w:val="0"/>
                <w:kern w:val="0"/>
                <w:sz w:val="32"/>
                <w:szCs w:val="32"/>
                <w:fitText w:val="1448" w:id="-863893244"/>
              </w:rPr>
              <w:t>师</w:t>
            </w:r>
          </w:p>
        </w:tc>
        <w:tc>
          <w:tcPr>
            <w:tcW w:w="236" w:type="dxa"/>
            <w:vAlign w:val="bottom"/>
          </w:tcPr>
          <w:p w14:paraId="72D0992F">
            <w:pPr>
              <w:keepNext w:val="0"/>
              <w:keepLines w:val="0"/>
              <w:suppressLineNumbers w:val="0"/>
              <w:spacing w:before="0" w:beforeAutospacing="0" w:after="0" w:afterAutospacing="0"/>
              <w:ind w:left="0" w:right="0"/>
              <w:jc w:val="center"/>
              <w:rPr>
                <w:rFonts w:hint="eastAsia" w:ascii="宋体" w:hAnsi="宋体"/>
                <w:b/>
                <w:bCs/>
                <w:sz w:val="32"/>
                <w:szCs w:val="32"/>
              </w:rPr>
            </w:pPr>
            <w:r>
              <w:rPr>
                <w:rFonts w:hint="eastAsia" w:ascii="宋体" w:hAnsi="宋体"/>
                <w:b/>
                <w:bCs/>
                <w:sz w:val="32"/>
                <w:szCs w:val="32"/>
              </w:rPr>
              <w:t>：</w:t>
            </w:r>
          </w:p>
        </w:tc>
        <w:tc>
          <w:tcPr>
            <w:tcW w:w="5133" w:type="dxa"/>
            <w:tcBorders>
              <w:top w:val="single" w:color="auto" w:sz="8" w:space="0"/>
              <w:bottom w:val="single" w:color="auto" w:sz="8" w:space="0"/>
            </w:tcBorders>
            <w:vAlign w:val="bottom"/>
          </w:tcPr>
          <w:p w14:paraId="47919988">
            <w:pPr>
              <w:keepNext w:val="0"/>
              <w:keepLines w:val="0"/>
              <w:suppressLineNumbers w:val="0"/>
              <w:spacing w:before="0" w:beforeAutospacing="0" w:after="0" w:afterAutospacing="0" w:line="240" w:lineRule="auto"/>
              <w:ind w:left="0" w:right="0"/>
              <w:jc w:val="center"/>
              <w:textAlignment w:val="bottom"/>
              <w:rPr>
                <w:rFonts w:hint="default" w:ascii="宋体" w:hAnsi="宋体" w:eastAsia="宋体"/>
                <w:b/>
                <w:bCs/>
                <w:sz w:val="32"/>
                <w:szCs w:val="32"/>
                <w:lang w:val="en-US" w:eastAsia="zh-CN"/>
              </w:rPr>
            </w:pPr>
            <w:r>
              <w:rPr>
                <w:rFonts w:hint="eastAsia" w:ascii="宋体" w:hAnsi="宋体"/>
                <w:b/>
                <w:bCs/>
                <w:sz w:val="32"/>
                <w:szCs w:val="32"/>
                <w:lang w:val="en-US" w:eastAsia="zh-CN"/>
              </w:rPr>
              <w:t>张淑芹</w:t>
            </w:r>
          </w:p>
        </w:tc>
      </w:tr>
    </w:tbl>
    <w:p w14:paraId="3DBA7555">
      <w:pPr>
        <w:jc w:val="center"/>
        <w:rPr>
          <w:b/>
          <w:bCs/>
          <w:sz w:val="32"/>
          <w:szCs w:val="32"/>
        </w:rPr>
      </w:pPr>
    </w:p>
    <w:p w14:paraId="280F6210">
      <w:pPr>
        <w:jc w:val="center"/>
        <w:rPr>
          <w:rFonts w:hint="eastAsia"/>
          <w:b/>
          <w:bCs/>
          <w:sz w:val="32"/>
          <w:szCs w:val="32"/>
        </w:rPr>
      </w:pPr>
    </w:p>
    <w:p w14:paraId="7D8FAF31">
      <w:pPr>
        <w:jc w:val="both"/>
        <w:rPr>
          <w:rFonts w:hint="eastAsia"/>
          <w:b/>
          <w:bCs/>
          <w:sz w:val="32"/>
          <w:szCs w:val="32"/>
        </w:rPr>
      </w:pPr>
    </w:p>
    <w:p w14:paraId="1AD0CC87">
      <w:pPr>
        <w:jc w:val="center"/>
        <w:rPr>
          <w:b/>
          <w:bCs/>
          <w:sz w:val="32"/>
          <w:szCs w:val="32"/>
        </w:rPr>
      </w:pPr>
      <w:r>
        <w:rPr>
          <w:b/>
          <w:bCs/>
          <w:sz w:val="32"/>
          <w:szCs w:val="32"/>
        </w:rPr>
        <w:t>202</w:t>
      </w:r>
      <w:r>
        <w:rPr>
          <w:rFonts w:hint="eastAsia"/>
          <w:b/>
          <w:bCs/>
          <w:sz w:val="32"/>
          <w:szCs w:val="32"/>
          <w:lang w:val="en-US" w:eastAsia="zh-CN"/>
        </w:rPr>
        <w:t>5</w:t>
      </w:r>
      <w:r>
        <w:rPr>
          <w:rFonts w:hint="eastAsia"/>
          <w:b/>
          <w:bCs/>
          <w:sz w:val="32"/>
          <w:szCs w:val="32"/>
        </w:rPr>
        <w:t>年</w:t>
      </w:r>
      <w:r>
        <w:rPr>
          <w:b/>
          <w:bCs/>
          <w:sz w:val="32"/>
          <w:szCs w:val="32"/>
        </w:rPr>
        <w:t>12</w:t>
      </w:r>
      <w:r>
        <w:rPr>
          <w:rFonts w:hint="eastAsia"/>
          <w:b/>
          <w:bCs/>
          <w:sz w:val="32"/>
          <w:szCs w:val="32"/>
        </w:rPr>
        <w:t>月</w:t>
      </w:r>
      <w:r>
        <w:rPr>
          <w:rFonts w:hint="eastAsia"/>
          <w:b/>
          <w:bCs/>
          <w:sz w:val="32"/>
          <w:szCs w:val="32"/>
          <w:lang w:val="en-US" w:eastAsia="zh-CN"/>
        </w:rPr>
        <w:t>3</w:t>
      </w:r>
      <w:r>
        <w:rPr>
          <w:rFonts w:hint="eastAsia"/>
          <w:b/>
          <w:bCs/>
          <w:sz w:val="32"/>
          <w:szCs w:val="32"/>
        </w:rPr>
        <w:t>日</w:t>
      </w:r>
    </w:p>
    <w:sdt>
      <w:sdtPr>
        <w:rPr>
          <w:lang w:val="zh-CN"/>
        </w:rPr>
        <w:id w:val="-1530799216"/>
        <w:docPartObj>
          <w:docPartGallery w:val="Table of Contents"/>
          <w:docPartUnique/>
        </w:docPartObj>
      </w:sdtPr>
      <w:sdtEndPr>
        <w:rPr>
          <w:rFonts w:ascii="Times New Roman" w:hAnsi="Times New Roman" w:eastAsia="宋体" w:cs="Times New Roman"/>
          <w:b/>
          <w:bCs/>
          <w:color w:val="000000"/>
          <w:sz w:val="24"/>
          <w:szCs w:val="21"/>
          <w:lang w:val="zh-CN"/>
        </w:rPr>
      </w:sdtEndPr>
      <w:sdtContent>
        <w:p w14:paraId="67AD0263">
          <w:pPr>
            <w:pStyle w:val="28"/>
            <w:jc w:val="center"/>
            <w:rPr>
              <w:rFonts w:ascii="宋体" w:hAnsi="宋体" w:eastAsia="宋体"/>
              <w:b/>
              <w:bCs/>
              <w:color w:val="auto"/>
            </w:rPr>
          </w:pPr>
          <w:r>
            <w:rPr>
              <w:rFonts w:ascii="宋体" w:hAnsi="宋体" w:eastAsia="宋体"/>
              <w:b/>
              <w:bCs/>
              <w:color w:val="auto"/>
              <w:lang w:val="zh-CN"/>
            </w:rPr>
            <w:t>目录</w:t>
          </w:r>
        </w:p>
        <w:p w14:paraId="019D8AC9">
          <w:pPr>
            <w:pStyle w:val="9"/>
            <w:tabs>
              <w:tab w:val="right" w:leader="dot" w:pos="8306"/>
            </w:tabs>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rFonts w:ascii="宋体" w:hAnsi="宋体" w:eastAsia="宋体"/>
            </w:rPr>
            <w:fldChar w:fldCharType="begin"/>
          </w:r>
          <w:r>
            <w:rPr>
              <w:rFonts w:ascii="宋体" w:hAnsi="宋体" w:eastAsia="宋体"/>
            </w:rPr>
            <w:instrText xml:space="preserve"> HYPERLINK \l _Toc5124 </w:instrText>
          </w:r>
          <w:r>
            <w:rPr>
              <w:rFonts w:ascii="宋体" w:hAnsi="宋体" w:eastAsia="宋体"/>
            </w:rPr>
            <w:fldChar w:fldCharType="separate"/>
          </w:r>
          <w:r>
            <w:rPr>
              <w:rFonts w:ascii="Times New Roman" w:hAnsi="Times New Roman" w:eastAsia="宋体" w:cs="Times New Roman"/>
            </w:rPr>
            <w:t xml:space="preserve">1 </w:t>
          </w:r>
          <w:r>
            <w:rPr>
              <w:rFonts w:hint="eastAsia"/>
              <w:lang w:val="en-US" w:eastAsia="zh-CN"/>
            </w:rPr>
            <w:t>引言</w:t>
          </w:r>
          <w:r>
            <w:tab/>
          </w:r>
          <w:r>
            <w:fldChar w:fldCharType="begin"/>
          </w:r>
          <w:r>
            <w:instrText xml:space="preserve"> PAGEREF _Toc5124 \h </w:instrText>
          </w:r>
          <w:r>
            <w:fldChar w:fldCharType="separate"/>
          </w:r>
          <w:r>
            <w:t>2</w:t>
          </w:r>
          <w:r>
            <w:fldChar w:fldCharType="end"/>
          </w:r>
          <w:r>
            <w:rPr>
              <w:rFonts w:ascii="宋体" w:hAnsi="宋体" w:eastAsia="宋体"/>
            </w:rPr>
            <w:fldChar w:fldCharType="end"/>
          </w:r>
        </w:p>
        <w:p w14:paraId="0D46C3AC">
          <w:pPr>
            <w:pStyle w:val="9"/>
            <w:tabs>
              <w:tab w:val="right" w:leader="dot" w:pos="8306"/>
            </w:tabs>
          </w:pPr>
          <w:r>
            <w:rPr>
              <w:rFonts w:ascii="宋体" w:hAnsi="宋体"/>
              <w:bCs/>
              <w:lang w:val="zh-CN"/>
            </w:rPr>
            <w:fldChar w:fldCharType="begin"/>
          </w:r>
          <w:r>
            <w:rPr>
              <w:rFonts w:ascii="宋体" w:hAnsi="宋体"/>
              <w:bCs/>
              <w:lang w:val="zh-CN"/>
            </w:rPr>
            <w:instrText xml:space="preserve"> HYPERLINK \l _Toc7203 </w:instrText>
          </w:r>
          <w:r>
            <w:rPr>
              <w:rFonts w:ascii="宋体" w:hAnsi="宋体"/>
              <w:bCs/>
              <w:lang w:val="zh-CN"/>
            </w:rPr>
            <w:fldChar w:fldCharType="separate"/>
          </w:r>
          <w:r>
            <w:rPr>
              <w:rFonts w:ascii="Times New Roman" w:hAnsi="Times New Roman" w:eastAsia="宋体" w:cs="Times New Roman"/>
            </w:rPr>
            <w:t xml:space="preserve">2 </w:t>
          </w:r>
          <w:r>
            <w:rPr>
              <w:rFonts w:hint="eastAsia"/>
            </w:rPr>
            <w:t>数据</w:t>
          </w:r>
          <w:r>
            <w:rPr>
              <w:rFonts w:hint="eastAsia"/>
              <w:lang w:val="en-US" w:eastAsia="zh-CN"/>
            </w:rPr>
            <w:t>与建模方法</w:t>
          </w:r>
          <w:r>
            <w:tab/>
          </w:r>
          <w:r>
            <w:fldChar w:fldCharType="begin"/>
          </w:r>
          <w:r>
            <w:instrText xml:space="preserve"> PAGEREF _Toc7203 \h </w:instrText>
          </w:r>
          <w:r>
            <w:fldChar w:fldCharType="separate"/>
          </w:r>
          <w:r>
            <w:t>3</w:t>
          </w:r>
          <w:r>
            <w:fldChar w:fldCharType="end"/>
          </w:r>
          <w:r>
            <w:rPr>
              <w:rFonts w:ascii="宋体" w:hAnsi="宋体"/>
              <w:bCs/>
              <w:lang w:val="zh-CN"/>
            </w:rPr>
            <w:fldChar w:fldCharType="end"/>
          </w:r>
        </w:p>
        <w:p w14:paraId="5D53301E">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_Toc6406 </w:instrText>
          </w:r>
          <w:r>
            <w:rPr>
              <w:rFonts w:ascii="宋体" w:hAnsi="宋体"/>
              <w:bCs/>
              <w:lang w:val="zh-CN"/>
            </w:rPr>
            <w:fldChar w:fldCharType="separate"/>
          </w:r>
          <w:r>
            <w:rPr>
              <w:rFonts w:hint="default"/>
            </w:rPr>
            <w:t xml:space="preserve">2.1 </w:t>
          </w:r>
          <w:r>
            <w:rPr>
              <w:rFonts w:hint="eastAsia"/>
              <w:lang w:val="en-US" w:eastAsia="zh-CN"/>
            </w:rPr>
            <w:t>描述性统计</w:t>
          </w:r>
          <w:r>
            <w:tab/>
          </w:r>
          <w:r>
            <w:fldChar w:fldCharType="begin"/>
          </w:r>
          <w:r>
            <w:instrText xml:space="preserve"> PAGEREF _Toc6406 \h </w:instrText>
          </w:r>
          <w:r>
            <w:fldChar w:fldCharType="separate"/>
          </w:r>
          <w:r>
            <w:t>3</w:t>
          </w:r>
          <w:r>
            <w:fldChar w:fldCharType="end"/>
          </w:r>
          <w:r>
            <w:rPr>
              <w:rFonts w:ascii="宋体" w:hAnsi="宋体"/>
              <w:bCs/>
              <w:lang w:val="zh-CN"/>
            </w:rPr>
            <w:fldChar w:fldCharType="end"/>
          </w:r>
        </w:p>
        <w:p w14:paraId="2B9D297A">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_Toc12554 </w:instrText>
          </w:r>
          <w:r>
            <w:rPr>
              <w:rFonts w:ascii="宋体" w:hAnsi="宋体"/>
              <w:bCs/>
              <w:lang w:val="zh-CN"/>
            </w:rPr>
            <w:fldChar w:fldCharType="separate"/>
          </w:r>
          <w:r>
            <w:rPr>
              <w:rFonts w:hint="default"/>
              <w:lang w:val="en-US"/>
            </w:rPr>
            <w:t xml:space="preserve">2.2 </w:t>
          </w:r>
          <w:r>
            <w:rPr>
              <w:rFonts w:hint="eastAsia"/>
              <w:lang w:val="en-US" w:eastAsia="zh-CN"/>
            </w:rPr>
            <w:t>相关性分析</w:t>
          </w:r>
          <w:r>
            <w:tab/>
          </w:r>
          <w:r>
            <w:fldChar w:fldCharType="begin"/>
          </w:r>
          <w:r>
            <w:instrText xml:space="preserve"> PAGEREF _Toc12554 \h </w:instrText>
          </w:r>
          <w:r>
            <w:fldChar w:fldCharType="separate"/>
          </w:r>
          <w:r>
            <w:t>4</w:t>
          </w:r>
          <w:r>
            <w:fldChar w:fldCharType="end"/>
          </w:r>
          <w:r>
            <w:rPr>
              <w:rFonts w:ascii="宋体" w:hAnsi="宋体"/>
              <w:bCs/>
              <w:lang w:val="zh-CN"/>
            </w:rPr>
            <w:fldChar w:fldCharType="end"/>
          </w:r>
        </w:p>
        <w:p w14:paraId="2FFFD692">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_Toc4517 </w:instrText>
          </w:r>
          <w:r>
            <w:rPr>
              <w:rFonts w:ascii="宋体" w:hAnsi="宋体"/>
              <w:bCs/>
              <w:lang w:val="zh-CN"/>
            </w:rPr>
            <w:fldChar w:fldCharType="separate"/>
          </w:r>
          <w:r>
            <w:rPr>
              <w:rFonts w:hint="default"/>
              <w:lang w:val="en-US"/>
            </w:rPr>
            <w:t xml:space="preserve">2.3 </w:t>
          </w:r>
          <w:r>
            <w:rPr>
              <w:rFonts w:hint="eastAsia"/>
              <w:lang w:val="en-US" w:eastAsia="zh-CN"/>
            </w:rPr>
            <w:t>回归建模方法</w:t>
          </w:r>
          <w:r>
            <w:tab/>
          </w:r>
          <w:r>
            <w:fldChar w:fldCharType="begin"/>
          </w:r>
          <w:r>
            <w:instrText xml:space="preserve"> PAGEREF _Toc4517 \h </w:instrText>
          </w:r>
          <w:r>
            <w:fldChar w:fldCharType="separate"/>
          </w:r>
          <w:r>
            <w:t>5</w:t>
          </w:r>
          <w:r>
            <w:fldChar w:fldCharType="end"/>
          </w:r>
          <w:r>
            <w:rPr>
              <w:rFonts w:ascii="宋体" w:hAnsi="宋体"/>
              <w:bCs/>
              <w:lang w:val="zh-CN"/>
            </w:rPr>
            <w:fldChar w:fldCharType="end"/>
          </w:r>
        </w:p>
        <w:p w14:paraId="540F8765">
          <w:pPr>
            <w:pStyle w:val="5"/>
            <w:tabs>
              <w:tab w:val="right" w:leader="dot" w:pos="8306"/>
            </w:tabs>
          </w:pPr>
          <w:r>
            <w:rPr>
              <w:rFonts w:ascii="宋体" w:hAnsi="宋体"/>
              <w:bCs/>
              <w:lang w:val="zh-CN"/>
            </w:rPr>
            <w:fldChar w:fldCharType="begin"/>
          </w:r>
          <w:r>
            <w:rPr>
              <w:rFonts w:ascii="宋体" w:hAnsi="宋体"/>
              <w:bCs/>
              <w:lang w:val="zh-CN"/>
            </w:rPr>
            <w:instrText xml:space="preserve"> HYPERLINK \l _Toc14285 </w:instrText>
          </w:r>
          <w:r>
            <w:rPr>
              <w:rFonts w:ascii="宋体" w:hAnsi="宋体"/>
              <w:bCs/>
              <w:lang w:val="zh-CN"/>
            </w:rPr>
            <w:fldChar w:fldCharType="separate"/>
          </w:r>
          <w:r>
            <w:rPr>
              <w:rFonts w:hint="eastAsia"/>
              <w:lang w:val="en-US" w:eastAsia="zh-CN"/>
            </w:rPr>
            <w:t>2.3.1 基础模型构建</w:t>
          </w:r>
          <w:r>
            <w:tab/>
          </w:r>
          <w:r>
            <w:fldChar w:fldCharType="begin"/>
          </w:r>
          <w:r>
            <w:instrText xml:space="preserve"> PAGEREF _Toc14285 \h </w:instrText>
          </w:r>
          <w:r>
            <w:fldChar w:fldCharType="separate"/>
          </w:r>
          <w:r>
            <w:t>5</w:t>
          </w:r>
          <w:r>
            <w:fldChar w:fldCharType="end"/>
          </w:r>
          <w:r>
            <w:rPr>
              <w:rFonts w:ascii="宋体" w:hAnsi="宋体"/>
              <w:bCs/>
              <w:lang w:val="zh-CN"/>
            </w:rPr>
            <w:fldChar w:fldCharType="end"/>
          </w:r>
        </w:p>
        <w:p w14:paraId="3BCEA510">
          <w:pPr>
            <w:pStyle w:val="5"/>
            <w:tabs>
              <w:tab w:val="right" w:leader="dot" w:pos="8306"/>
            </w:tabs>
          </w:pPr>
          <w:r>
            <w:rPr>
              <w:rFonts w:ascii="宋体" w:hAnsi="宋体"/>
              <w:bCs/>
              <w:lang w:val="zh-CN"/>
            </w:rPr>
            <w:fldChar w:fldCharType="begin"/>
          </w:r>
          <w:r>
            <w:rPr>
              <w:rFonts w:ascii="宋体" w:hAnsi="宋体"/>
              <w:bCs/>
              <w:lang w:val="zh-CN"/>
            </w:rPr>
            <w:instrText xml:space="preserve"> HYPERLINK \l _Toc26524 </w:instrText>
          </w:r>
          <w:r>
            <w:rPr>
              <w:rFonts w:ascii="宋体" w:hAnsi="宋体"/>
              <w:bCs/>
              <w:lang w:val="zh-CN"/>
            </w:rPr>
            <w:fldChar w:fldCharType="separate"/>
          </w:r>
          <w:r>
            <w:rPr>
              <w:rFonts w:hint="eastAsia"/>
              <w:lang w:val="en-US" w:eastAsia="zh-CN"/>
            </w:rPr>
            <w:t>2.3.2 变量选择</w:t>
          </w:r>
          <w:r>
            <w:tab/>
          </w:r>
          <w:r>
            <w:fldChar w:fldCharType="begin"/>
          </w:r>
          <w:r>
            <w:instrText xml:space="preserve"> PAGEREF _Toc26524 \h </w:instrText>
          </w:r>
          <w:r>
            <w:fldChar w:fldCharType="separate"/>
          </w:r>
          <w:r>
            <w:t>5</w:t>
          </w:r>
          <w:r>
            <w:fldChar w:fldCharType="end"/>
          </w:r>
          <w:r>
            <w:rPr>
              <w:rFonts w:ascii="宋体" w:hAnsi="宋体"/>
              <w:bCs/>
              <w:lang w:val="zh-CN"/>
            </w:rPr>
            <w:fldChar w:fldCharType="end"/>
          </w:r>
        </w:p>
        <w:p w14:paraId="4D73CD8F">
          <w:pPr>
            <w:pStyle w:val="5"/>
            <w:tabs>
              <w:tab w:val="right" w:leader="dot" w:pos="8306"/>
            </w:tabs>
          </w:pPr>
          <w:r>
            <w:rPr>
              <w:rFonts w:ascii="宋体" w:hAnsi="宋体"/>
              <w:bCs/>
              <w:lang w:val="zh-CN"/>
            </w:rPr>
            <w:fldChar w:fldCharType="begin"/>
          </w:r>
          <w:r>
            <w:rPr>
              <w:rFonts w:ascii="宋体" w:hAnsi="宋体"/>
              <w:bCs/>
              <w:lang w:val="zh-CN"/>
            </w:rPr>
            <w:instrText xml:space="preserve"> HYPERLINK \l _Toc17100 </w:instrText>
          </w:r>
          <w:r>
            <w:rPr>
              <w:rFonts w:ascii="宋体" w:hAnsi="宋体"/>
              <w:bCs/>
              <w:lang w:val="zh-CN"/>
            </w:rPr>
            <w:fldChar w:fldCharType="separate"/>
          </w:r>
          <w:r>
            <w:rPr>
              <w:rFonts w:hint="eastAsia"/>
              <w:lang w:val="en-US" w:eastAsia="zh-CN"/>
            </w:rPr>
            <w:t>2.3.3 模型诊断</w:t>
          </w:r>
          <w:r>
            <w:tab/>
          </w:r>
          <w:r>
            <w:fldChar w:fldCharType="begin"/>
          </w:r>
          <w:r>
            <w:instrText xml:space="preserve"> PAGEREF _Toc17100 \h </w:instrText>
          </w:r>
          <w:r>
            <w:fldChar w:fldCharType="separate"/>
          </w:r>
          <w:r>
            <w:t>5</w:t>
          </w:r>
          <w:r>
            <w:fldChar w:fldCharType="end"/>
          </w:r>
          <w:r>
            <w:rPr>
              <w:rFonts w:ascii="宋体" w:hAnsi="宋体"/>
              <w:bCs/>
              <w:lang w:val="zh-CN"/>
            </w:rPr>
            <w:fldChar w:fldCharType="end"/>
          </w:r>
        </w:p>
        <w:p w14:paraId="5FBC76B6">
          <w:pPr>
            <w:pStyle w:val="5"/>
            <w:tabs>
              <w:tab w:val="right" w:leader="dot" w:pos="8306"/>
            </w:tabs>
          </w:pPr>
          <w:r>
            <w:rPr>
              <w:rFonts w:ascii="宋体" w:hAnsi="宋体"/>
              <w:bCs/>
              <w:lang w:val="zh-CN"/>
            </w:rPr>
            <w:fldChar w:fldCharType="begin"/>
          </w:r>
          <w:r>
            <w:rPr>
              <w:rFonts w:ascii="宋体" w:hAnsi="宋体"/>
              <w:bCs/>
              <w:lang w:val="zh-CN"/>
            </w:rPr>
            <w:instrText xml:space="preserve"> HYPERLINK \l _Toc15632 </w:instrText>
          </w:r>
          <w:r>
            <w:rPr>
              <w:rFonts w:ascii="宋体" w:hAnsi="宋体"/>
              <w:bCs/>
              <w:lang w:val="zh-CN"/>
            </w:rPr>
            <w:fldChar w:fldCharType="separate"/>
          </w:r>
          <w:r>
            <w:rPr>
              <w:rFonts w:hint="eastAsia"/>
              <w:lang w:val="en-US" w:eastAsia="zh-CN"/>
            </w:rPr>
            <w:t>2.3.4 模型拓展</w:t>
          </w:r>
          <w:r>
            <w:tab/>
          </w:r>
          <w:r>
            <w:fldChar w:fldCharType="begin"/>
          </w:r>
          <w:r>
            <w:instrText xml:space="preserve"> PAGEREF _Toc15632 \h </w:instrText>
          </w:r>
          <w:r>
            <w:fldChar w:fldCharType="separate"/>
          </w:r>
          <w:r>
            <w:t>5</w:t>
          </w:r>
          <w:r>
            <w:fldChar w:fldCharType="end"/>
          </w:r>
          <w:r>
            <w:rPr>
              <w:rFonts w:ascii="宋体" w:hAnsi="宋体"/>
              <w:bCs/>
              <w:lang w:val="zh-CN"/>
            </w:rPr>
            <w:fldChar w:fldCharType="end"/>
          </w:r>
        </w:p>
        <w:p w14:paraId="52042AA0">
          <w:pPr>
            <w:pStyle w:val="9"/>
            <w:tabs>
              <w:tab w:val="right" w:leader="dot" w:pos="8306"/>
            </w:tabs>
          </w:pPr>
          <w:r>
            <w:rPr>
              <w:rFonts w:ascii="宋体" w:hAnsi="宋体"/>
              <w:bCs/>
              <w:lang w:val="zh-CN"/>
            </w:rPr>
            <w:fldChar w:fldCharType="begin"/>
          </w:r>
          <w:r>
            <w:rPr>
              <w:rFonts w:ascii="宋体" w:hAnsi="宋体"/>
              <w:bCs/>
              <w:lang w:val="zh-CN"/>
            </w:rPr>
            <w:instrText xml:space="preserve"> HYPERLINK \l _Toc1980 </w:instrText>
          </w:r>
          <w:r>
            <w:rPr>
              <w:rFonts w:ascii="宋体" w:hAnsi="宋体"/>
              <w:bCs/>
              <w:lang w:val="zh-CN"/>
            </w:rPr>
            <w:fldChar w:fldCharType="separate"/>
          </w:r>
          <w:r>
            <w:rPr>
              <w:rFonts w:ascii="Times New Roman" w:hAnsi="Times New Roman" w:eastAsia="宋体" w:cs="Times New Roman"/>
            </w:rPr>
            <w:t xml:space="preserve">3 </w:t>
          </w:r>
          <w:r>
            <w:rPr>
              <w:rFonts w:hint="eastAsia"/>
              <w:lang w:val="en-US" w:eastAsia="zh-CN"/>
            </w:rPr>
            <w:t>实证分析</w:t>
          </w:r>
          <w:r>
            <w:tab/>
          </w:r>
          <w:r>
            <w:fldChar w:fldCharType="begin"/>
          </w:r>
          <w:r>
            <w:instrText xml:space="preserve"> PAGEREF _Toc1980 \h </w:instrText>
          </w:r>
          <w:r>
            <w:fldChar w:fldCharType="separate"/>
          </w:r>
          <w:r>
            <w:t>6</w:t>
          </w:r>
          <w:r>
            <w:fldChar w:fldCharType="end"/>
          </w:r>
          <w:r>
            <w:rPr>
              <w:rFonts w:ascii="宋体" w:hAnsi="宋体"/>
              <w:bCs/>
              <w:lang w:val="zh-CN"/>
            </w:rPr>
            <w:fldChar w:fldCharType="end"/>
          </w:r>
        </w:p>
        <w:p w14:paraId="74F2304E">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_Toc9342 </w:instrText>
          </w:r>
          <w:r>
            <w:rPr>
              <w:rFonts w:ascii="宋体" w:hAnsi="宋体"/>
              <w:bCs/>
              <w:lang w:val="zh-CN"/>
            </w:rPr>
            <w:fldChar w:fldCharType="separate"/>
          </w:r>
          <w:r>
            <w:rPr>
              <w:rFonts w:hint="default"/>
            </w:rPr>
            <w:t xml:space="preserve">3.1 </w:t>
          </w:r>
          <w:r>
            <w:rPr>
              <w:rFonts w:hint="eastAsia"/>
              <w:lang w:val="en-US" w:eastAsia="zh-CN"/>
            </w:rPr>
            <w:t>多元线性回归</w:t>
          </w:r>
          <w:r>
            <w:tab/>
          </w:r>
          <w:r>
            <w:fldChar w:fldCharType="begin"/>
          </w:r>
          <w:r>
            <w:instrText xml:space="preserve"> PAGEREF _Toc9342 \h </w:instrText>
          </w:r>
          <w:r>
            <w:fldChar w:fldCharType="separate"/>
          </w:r>
          <w:r>
            <w:t>6</w:t>
          </w:r>
          <w:r>
            <w:fldChar w:fldCharType="end"/>
          </w:r>
          <w:r>
            <w:rPr>
              <w:rFonts w:ascii="宋体" w:hAnsi="宋体"/>
              <w:bCs/>
              <w:lang w:val="zh-CN"/>
            </w:rPr>
            <w:fldChar w:fldCharType="end"/>
          </w:r>
        </w:p>
        <w:p w14:paraId="53347FF4">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_Toc7255 </w:instrText>
          </w:r>
          <w:r>
            <w:rPr>
              <w:rFonts w:ascii="宋体" w:hAnsi="宋体"/>
              <w:bCs/>
              <w:lang w:val="zh-CN"/>
            </w:rPr>
            <w:fldChar w:fldCharType="separate"/>
          </w:r>
          <w:r>
            <w:rPr>
              <w:rFonts w:hint="default"/>
            </w:rPr>
            <w:t xml:space="preserve">3.2 </w:t>
          </w:r>
          <w:r>
            <w:rPr>
              <w:rFonts w:hint="eastAsia"/>
              <w:lang w:val="en-US" w:eastAsia="zh-CN"/>
            </w:rPr>
            <w:t>变量选择</w:t>
          </w:r>
          <w:r>
            <w:tab/>
          </w:r>
          <w:r>
            <w:fldChar w:fldCharType="begin"/>
          </w:r>
          <w:r>
            <w:instrText xml:space="preserve"> PAGEREF _Toc7255 \h </w:instrText>
          </w:r>
          <w:r>
            <w:fldChar w:fldCharType="separate"/>
          </w:r>
          <w:r>
            <w:t>6</w:t>
          </w:r>
          <w:r>
            <w:fldChar w:fldCharType="end"/>
          </w:r>
          <w:r>
            <w:rPr>
              <w:rFonts w:ascii="宋体" w:hAnsi="宋体"/>
              <w:bCs/>
              <w:lang w:val="zh-CN"/>
            </w:rPr>
            <w:fldChar w:fldCharType="end"/>
          </w:r>
        </w:p>
        <w:p w14:paraId="7EC0F63C">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_Toc15652 </w:instrText>
          </w:r>
          <w:r>
            <w:rPr>
              <w:rFonts w:ascii="宋体" w:hAnsi="宋体"/>
              <w:bCs/>
              <w:lang w:val="zh-CN"/>
            </w:rPr>
            <w:fldChar w:fldCharType="separate"/>
          </w:r>
          <w:r>
            <w:rPr>
              <w:rFonts w:hint="default"/>
            </w:rPr>
            <w:t xml:space="preserve">3.3 </w:t>
          </w:r>
          <w:r>
            <w:rPr>
              <w:rFonts w:hint="eastAsia"/>
              <w:lang w:val="en-US" w:eastAsia="zh-CN"/>
            </w:rPr>
            <w:t>残差正态性与异方差检验</w:t>
          </w:r>
          <w:r>
            <w:tab/>
          </w:r>
          <w:r>
            <w:fldChar w:fldCharType="begin"/>
          </w:r>
          <w:r>
            <w:instrText xml:space="preserve"> PAGEREF _Toc15652 \h </w:instrText>
          </w:r>
          <w:r>
            <w:fldChar w:fldCharType="separate"/>
          </w:r>
          <w:r>
            <w:t>6</w:t>
          </w:r>
          <w:r>
            <w:fldChar w:fldCharType="end"/>
          </w:r>
          <w:r>
            <w:rPr>
              <w:rFonts w:ascii="宋体" w:hAnsi="宋体"/>
              <w:bCs/>
              <w:lang w:val="zh-CN"/>
            </w:rPr>
            <w:fldChar w:fldCharType="end"/>
          </w:r>
        </w:p>
        <w:p w14:paraId="04904218">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_Toc10657 </w:instrText>
          </w:r>
          <w:r>
            <w:rPr>
              <w:rFonts w:ascii="宋体" w:hAnsi="宋体"/>
              <w:bCs/>
              <w:lang w:val="zh-CN"/>
            </w:rPr>
            <w:fldChar w:fldCharType="separate"/>
          </w:r>
          <w:r>
            <w:rPr>
              <w:rFonts w:hint="default"/>
            </w:rPr>
            <w:t xml:space="preserve">3.4 </w:t>
          </w:r>
          <w:r>
            <w:rPr>
              <w:rFonts w:hint="eastAsia"/>
              <w:lang w:val="en-US" w:eastAsia="zh-CN"/>
            </w:rPr>
            <w:t>最终拟合模型</w:t>
          </w:r>
          <w:r>
            <w:tab/>
          </w:r>
          <w:r>
            <w:fldChar w:fldCharType="begin"/>
          </w:r>
          <w:r>
            <w:instrText xml:space="preserve"> PAGEREF _Toc10657 \h </w:instrText>
          </w:r>
          <w:r>
            <w:fldChar w:fldCharType="separate"/>
          </w:r>
          <w:r>
            <w:t>7</w:t>
          </w:r>
          <w:r>
            <w:fldChar w:fldCharType="end"/>
          </w:r>
          <w:r>
            <w:rPr>
              <w:rFonts w:ascii="宋体" w:hAnsi="宋体"/>
              <w:bCs/>
              <w:lang w:val="zh-CN"/>
            </w:rPr>
            <w:fldChar w:fldCharType="end"/>
          </w:r>
        </w:p>
        <w:p w14:paraId="77B84B12">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_Toc32684 </w:instrText>
          </w:r>
          <w:r>
            <w:rPr>
              <w:rFonts w:ascii="宋体" w:hAnsi="宋体"/>
              <w:bCs/>
              <w:lang w:val="zh-CN"/>
            </w:rPr>
            <w:fldChar w:fldCharType="separate"/>
          </w:r>
          <w:r>
            <w:rPr>
              <w:rFonts w:hint="default"/>
            </w:rPr>
            <w:t xml:space="preserve">3.5 </w:t>
          </w:r>
          <w:r>
            <w:rPr>
              <w:rFonts w:hint="eastAsia"/>
              <w:lang w:val="en-US" w:eastAsia="zh-CN"/>
            </w:rPr>
            <w:t>稳健性检验</w:t>
          </w:r>
          <w:r>
            <w:tab/>
          </w:r>
          <w:r>
            <w:fldChar w:fldCharType="begin"/>
          </w:r>
          <w:r>
            <w:instrText xml:space="preserve"> PAGEREF _Toc32684 \h </w:instrText>
          </w:r>
          <w:r>
            <w:fldChar w:fldCharType="separate"/>
          </w:r>
          <w:r>
            <w:t>8</w:t>
          </w:r>
          <w:r>
            <w:fldChar w:fldCharType="end"/>
          </w:r>
          <w:r>
            <w:rPr>
              <w:rFonts w:ascii="宋体" w:hAnsi="宋体"/>
              <w:bCs/>
              <w:lang w:val="zh-CN"/>
            </w:rPr>
            <w:fldChar w:fldCharType="end"/>
          </w:r>
        </w:p>
        <w:p w14:paraId="2A8B3CB5">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_Toc21106 </w:instrText>
          </w:r>
          <w:r>
            <w:rPr>
              <w:rFonts w:ascii="宋体" w:hAnsi="宋体"/>
              <w:bCs/>
              <w:lang w:val="zh-CN"/>
            </w:rPr>
            <w:fldChar w:fldCharType="separate"/>
          </w:r>
          <w:r>
            <w:rPr>
              <w:rFonts w:hint="default" w:asciiTheme="minorHAnsi" w:hAnsiTheme="minorHAnsi" w:cstheme="minorHAnsi"/>
              <w:szCs w:val="24"/>
            </w:rPr>
            <w:t xml:space="preserve">3.6 </w:t>
          </w:r>
          <w:r>
            <w:rPr>
              <w:rFonts w:hint="eastAsia" w:asciiTheme="minorHAnsi" w:hAnsiTheme="minorHAnsi" w:cstheme="minorHAnsi"/>
              <w:szCs w:val="24"/>
              <w:lang w:val="en-US" w:eastAsia="zh-CN"/>
            </w:rPr>
            <w:t>交互效应分析</w:t>
          </w:r>
          <w:r>
            <w:tab/>
          </w:r>
          <w:r>
            <w:fldChar w:fldCharType="begin"/>
          </w:r>
          <w:r>
            <w:instrText xml:space="preserve"> PAGEREF _Toc21106 \h </w:instrText>
          </w:r>
          <w:r>
            <w:fldChar w:fldCharType="separate"/>
          </w:r>
          <w:r>
            <w:t>8</w:t>
          </w:r>
          <w:r>
            <w:fldChar w:fldCharType="end"/>
          </w:r>
          <w:r>
            <w:rPr>
              <w:rFonts w:ascii="宋体" w:hAnsi="宋体"/>
              <w:bCs/>
              <w:lang w:val="zh-CN"/>
            </w:rPr>
            <w:fldChar w:fldCharType="end"/>
          </w:r>
        </w:p>
        <w:p w14:paraId="4312DEB4">
          <w:pPr>
            <w:pStyle w:val="9"/>
            <w:tabs>
              <w:tab w:val="right" w:leader="dot" w:pos="8306"/>
            </w:tabs>
          </w:pPr>
          <w:r>
            <w:rPr>
              <w:rFonts w:ascii="宋体" w:hAnsi="宋体"/>
              <w:bCs/>
              <w:lang w:val="zh-CN"/>
            </w:rPr>
            <w:fldChar w:fldCharType="begin"/>
          </w:r>
          <w:r>
            <w:rPr>
              <w:rFonts w:ascii="宋体" w:hAnsi="宋体"/>
              <w:bCs/>
              <w:lang w:val="zh-CN"/>
            </w:rPr>
            <w:instrText xml:space="preserve"> HYPERLINK \l _Toc9500 </w:instrText>
          </w:r>
          <w:r>
            <w:rPr>
              <w:rFonts w:ascii="宋体" w:hAnsi="宋体"/>
              <w:bCs/>
              <w:lang w:val="zh-CN"/>
            </w:rPr>
            <w:fldChar w:fldCharType="separate"/>
          </w:r>
          <w:r>
            <w:rPr>
              <w:rFonts w:ascii="Times New Roman" w:hAnsi="Times New Roman" w:eastAsia="宋体" w:cs="Times New Roman"/>
            </w:rPr>
            <w:t xml:space="preserve">4 </w:t>
          </w:r>
          <w:r>
            <w:rPr>
              <w:rFonts w:hint="eastAsia"/>
              <w:lang w:val="en-US" w:eastAsia="zh-CN"/>
            </w:rPr>
            <w:t>讨论</w:t>
          </w:r>
          <w:r>
            <w:tab/>
          </w:r>
          <w:r>
            <w:fldChar w:fldCharType="begin"/>
          </w:r>
          <w:r>
            <w:instrText xml:space="preserve"> PAGEREF _Toc9500 \h </w:instrText>
          </w:r>
          <w:r>
            <w:fldChar w:fldCharType="separate"/>
          </w:r>
          <w:r>
            <w:t>9</w:t>
          </w:r>
          <w:r>
            <w:fldChar w:fldCharType="end"/>
          </w:r>
          <w:r>
            <w:rPr>
              <w:rFonts w:ascii="宋体" w:hAnsi="宋体"/>
              <w:bCs/>
              <w:lang w:val="zh-CN"/>
            </w:rPr>
            <w:fldChar w:fldCharType="end"/>
          </w:r>
        </w:p>
        <w:p w14:paraId="78A057DA">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_Toc12060 </w:instrText>
          </w:r>
          <w:r>
            <w:rPr>
              <w:rFonts w:ascii="宋体" w:hAnsi="宋体"/>
              <w:bCs/>
              <w:lang w:val="zh-CN"/>
            </w:rPr>
            <w:fldChar w:fldCharType="separate"/>
          </w:r>
          <w:r>
            <w:rPr>
              <w:rFonts w:hint="eastAsia"/>
              <w:lang w:val="en-US" w:eastAsia="zh-CN"/>
            </w:rPr>
            <w:t>4</w:t>
          </w:r>
          <w:r>
            <w:t>.1 生物标志物的“抑制效应”</w:t>
          </w:r>
          <w:r>
            <w:tab/>
          </w:r>
          <w:r>
            <w:fldChar w:fldCharType="begin"/>
          </w:r>
          <w:r>
            <w:instrText xml:space="preserve"> PAGEREF _Toc12060 \h </w:instrText>
          </w:r>
          <w:r>
            <w:fldChar w:fldCharType="separate"/>
          </w:r>
          <w:r>
            <w:t>9</w:t>
          </w:r>
          <w:r>
            <w:fldChar w:fldCharType="end"/>
          </w:r>
          <w:r>
            <w:rPr>
              <w:rFonts w:ascii="宋体" w:hAnsi="宋体"/>
              <w:bCs/>
              <w:lang w:val="zh-CN"/>
            </w:rPr>
            <w:fldChar w:fldCharType="end"/>
          </w:r>
        </w:p>
        <w:p w14:paraId="31B3A856">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_Toc8792 </w:instrText>
          </w:r>
          <w:r>
            <w:rPr>
              <w:rFonts w:ascii="宋体" w:hAnsi="宋体"/>
              <w:bCs/>
              <w:lang w:val="zh-CN"/>
            </w:rPr>
            <w:fldChar w:fldCharType="separate"/>
          </w:r>
          <w:r>
            <w:rPr>
              <w:rFonts w:hint="eastAsia"/>
              <w:lang w:val="en-US" w:eastAsia="zh-CN"/>
            </w:rPr>
            <w:t>4</w:t>
          </w:r>
          <w:r>
            <w:t>.2 核心驱动因子：S5 与 BMI</w:t>
          </w:r>
          <w:r>
            <w:tab/>
          </w:r>
          <w:r>
            <w:fldChar w:fldCharType="begin"/>
          </w:r>
          <w:r>
            <w:instrText xml:space="preserve"> PAGEREF _Toc8792 \h </w:instrText>
          </w:r>
          <w:r>
            <w:fldChar w:fldCharType="separate"/>
          </w:r>
          <w:r>
            <w:t>9</w:t>
          </w:r>
          <w:r>
            <w:fldChar w:fldCharType="end"/>
          </w:r>
          <w:r>
            <w:rPr>
              <w:rFonts w:ascii="宋体" w:hAnsi="宋体"/>
              <w:bCs/>
              <w:lang w:val="zh-CN"/>
            </w:rPr>
            <w:fldChar w:fldCharType="end"/>
          </w:r>
        </w:p>
        <w:p w14:paraId="6DECA4FB">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_Toc3937 </w:instrText>
          </w:r>
          <w:r>
            <w:rPr>
              <w:rFonts w:ascii="宋体" w:hAnsi="宋体"/>
              <w:bCs/>
              <w:lang w:val="zh-CN"/>
            </w:rPr>
            <w:fldChar w:fldCharType="separate"/>
          </w:r>
          <w:r>
            <w:rPr>
              <w:rFonts w:hint="eastAsia"/>
              <w:lang w:val="en-US" w:eastAsia="zh-CN"/>
            </w:rPr>
            <w:t>4</w:t>
          </w:r>
          <w:r>
            <w:t>.3 临床启示：性别特异性干预</w:t>
          </w:r>
          <w:r>
            <w:tab/>
          </w:r>
          <w:r>
            <w:fldChar w:fldCharType="begin"/>
          </w:r>
          <w:r>
            <w:instrText xml:space="preserve"> PAGEREF _Toc3937 \h </w:instrText>
          </w:r>
          <w:r>
            <w:fldChar w:fldCharType="separate"/>
          </w:r>
          <w:r>
            <w:t>9</w:t>
          </w:r>
          <w:r>
            <w:fldChar w:fldCharType="end"/>
          </w:r>
          <w:r>
            <w:rPr>
              <w:rFonts w:ascii="宋体" w:hAnsi="宋体"/>
              <w:bCs/>
              <w:lang w:val="zh-CN"/>
            </w:rPr>
            <w:fldChar w:fldCharType="end"/>
          </w:r>
        </w:p>
        <w:p w14:paraId="17D2F4AA">
          <w:pPr>
            <w:pStyle w:val="9"/>
            <w:tabs>
              <w:tab w:val="right" w:leader="dot" w:pos="8306"/>
            </w:tabs>
          </w:pPr>
          <w:r>
            <w:rPr>
              <w:rFonts w:ascii="宋体" w:hAnsi="宋体"/>
              <w:bCs/>
              <w:lang w:val="zh-CN"/>
            </w:rPr>
            <w:fldChar w:fldCharType="begin"/>
          </w:r>
          <w:r>
            <w:rPr>
              <w:rFonts w:ascii="宋体" w:hAnsi="宋体"/>
              <w:bCs/>
              <w:lang w:val="zh-CN"/>
            </w:rPr>
            <w:instrText xml:space="preserve"> HYPERLINK \l _Toc17600 </w:instrText>
          </w:r>
          <w:r>
            <w:rPr>
              <w:rFonts w:ascii="宋体" w:hAnsi="宋体"/>
              <w:bCs/>
              <w:lang w:val="zh-CN"/>
            </w:rPr>
            <w:fldChar w:fldCharType="separate"/>
          </w:r>
          <w:r>
            <w:rPr>
              <w:rFonts w:ascii="Times New Roman" w:hAnsi="Times New Roman" w:eastAsia="宋体" w:cs="Times New Roman"/>
            </w:rPr>
            <w:t xml:space="preserve">5 </w:t>
          </w:r>
          <w:r>
            <w:rPr>
              <w:rFonts w:hint="eastAsia"/>
              <w:lang w:val="en-US" w:eastAsia="zh-CN"/>
            </w:rPr>
            <w:t>结论</w:t>
          </w:r>
          <w:r>
            <w:tab/>
          </w:r>
          <w:r>
            <w:fldChar w:fldCharType="begin"/>
          </w:r>
          <w:r>
            <w:instrText xml:space="preserve"> PAGEREF _Toc17600 \h </w:instrText>
          </w:r>
          <w:r>
            <w:fldChar w:fldCharType="separate"/>
          </w:r>
          <w:r>
            <w:t>9</w:t>
          </w:r>
          <w:r>
            <w:fldChar w:fldCharType="end"/>
          </w:r>
          <w:r>
            <w:rPr>
              <w:rFonts w:ascii="宋体" w:hAnsi="宋体"/>
              <w:bCs/>
              <w:lang w:val="zh-CN"/>
            </w:rPr>
            <w:fldChar w:fldCharType="end"/>
          </w:r>
        </w:p>
        <w:p w14:paraId="03AEC4F2">
          <w:pPr>
            <w:pStyle w:val="9"/>
            <w:tabs>
              <w:tab w:val="right" w:leader="dot" w:pos="8306"/>
            </w:tabs>
          </w:pPr>
          <w:r>
            <w:rPr>
              <w:rFonts w:ascii="宋体" w:hAnsi="宋体"/>
              <w:bCs/>
              <w:lang w:val="zh-CN"/>
            </w:rPr>
            <w:fldChar w:fldCharType="begin"/>
          </w:r>
          <w:r>
            <w:rPr>
              <w:rFonts w:ascii="宋体" w:hAnsi="宋体"/>
              <w:bCs/>
              <w:lang w:val="zh-CN"/>
            </w:rPr>
            <w:instrText xml:space="preserve"> HYPERLINK \l _Toc32033 </w:instrText>
          </w:r>
          <w:r>
            <w:rPr>
              <w:rFonts w:ascii="宋体" w:hAnsi="宋体"/>
              <w:bCs/>
              <w:lang w:val="zh-CN"/>
            </w:rPr>
            <w:fldChar w:fldCharType="separate"/>
          </w:r>
          <w:r>
            <w:rPr>
              <w:rFonts w:ascii="Times New Roman" w:hAnsi="Times New Roman" w:eastAsia="宋体" w:cs="Times New Roman"/>
            </w:rPr>
            <w:t xml:space="preserve">6 </w:t>
          </w:r>
          <w:r>
            <w:rPr>
              <w:rFonts w:hint="eastAsia"/>
              <w:lang w:val="en-US" w:eastAsia="zh-CN"/>
            </w:rPr>
            <w:t>附录</w:t>
          </w:r>
          <w:r>
            <w:tab/>
          </w:r>
          <w:r>
            <w:fldChar w:fldCharType="begin"/>
          </w:r>
          <w:r>
            <w:instrText xml:space="preserve"> PAGEREF _Toc32033 \h </w:instrText>
          </w:r>
          <w:r>
            <w:fldChar w:fldCharType="separate"/>
          </w:r>
          <w:r>
            <w:t>10</w:t>
          </w:r>
          <w:r>
            <w:fldChar w:fldCharType="end"/>
          </w:r>
          <w:r>
            <w:rPr>
              <w:rFonts w:ascii="宋体" w:hAnsi="宋体"/>
              <w:bCs/>
              <w:lang w:val="zh-CN"/>
            </w:rPr>
            <w:fldChar w:fldCharType="end"/>
          </w:r>
        </w:p>
        <w:p w14:paraId="1ABCA2B0">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_Toc8367 </w:instrText>
          </w:r>
          <w:r>
            <w:rPr>
              <w:rFonts w:ascii="宋体" w:hAnsi="宋体"/>
              <w:bCs/>
              <w:lang w:val="zh-CN"/>
            </w:rPr>
            <w:fldChar w:fldCharType="separate"/>
          </w:r>
          <w:r>
            <w:rPr>
              <w:rFonts w:hint="default"/>
              <w:lang w:val="en-US" w:eastAsia="zh-CN"/>
            </w:rPr>
            <w:t xml:space="preserve">A. </w:t>
          </w:r>
          <w:r>
            <w:rPr>
              <w:rFonts w:hint="eastAsia"/>
              <w:lang w:val="en-US" w:eastAsia="zh-CN"/>
            </w:rPr>
            <w:t>全变量OLS结果</w:t>
          </w:r>
          <w:r>
            <w:tab/>
          </w:r>
          <w:r>
            <w:fldChar w:fldCharType="begin"/>
          </w:r>
          <w:r>
            <w:instrText xml:space="preserve"> PAGEREF _Toc8367 \h </w:instrText>
          </w:r>
          <w:r>
            <w:fldChar w:fldCharType="separate"/>
          </w:r>
          <w:r>
            <w:t>10</w:t>
          </w:r>
          <w:r>
            <w:fldChar w:fldCharType="end"/>
          </w:r>
          <w:r>
            <w:rPr>
              <w:rFonts w:ascii="宋体" w:hAnsi="宋体"/>
              <w:bCs/>
              <w:lang w:val="zh-CN"/>
            </w:rPr>
            <w:fldChar w:fldCharType="end"/>
          </w:r>
        </w:p>
        <w:p w14:paraId="748BD636">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_Toc3427 </w:instrText>
          </w:r>
          <w:r>
            <w:rPr>
              <w:rFonts w:ascii="宋体" w:hAnsi="宋体"/>
              <w:bCs/>
              <w:lang w:val="zh-CN"/>
            </w:rPr>
            <w:fldChar w:fldCharType="separate"/>
          </w:r>
          <w:r>
            <w:rPr>
              <w:rFonts w:hint="default"/>
              <w:lang w:val="en-US" w:eastAsia="zh-CN"/>
            </w:rPr>
            <w:t xml:space="preserve">B. </w:t>
          </w:r>
          <w:r>
            <w:rPr>
              <w:rFonts w:hint="eastAsia"/>
              <w:lang w:val="en-US" w:eastAsia="zh-CN"/>
            </w:rPr>
            <w:t>最终模型OLS结果</w:t>
          </w:r>
          <w:r>
            <w:tab/>
          </w:r>
          <w:r>
            <w:fldChar w:fldCharType="begin"/>
          </w:r>
          <w:r>
            <w:instrText xml:space="preserve"> PAGEREF _Toc3427 \h </w:instrText>
          </w:r>
          <w:r>
            <w:fldChar w:fldCharType="separate"/>
          </w:r>
          <w:r>
            <w:t>10</w:t>
          </w:r>
          <w:r>
            <w:fldChar w:fldCharType="end"/>
          </w:r>
          <w:r>
            <w:rPr>
              <w:rFonts w:ascii="宋体" w:hAnsi="宋体"/>
              <w:bCs/>
              <w:lang w:val="zh-CN"/>
            </w:rPr>
            <w:fldChar w:fldCharType="end"/>
          </w:r>
        </w:p>
        <w:p w14:paraId="1A80F581">
          <w:pPr>
            <w:pStyle w:val="10"/>
            <w:tabs>
              <w:tab w:val="right" w:leader="dot" w:pos="8306"/>
            </w:tabs>
          </w:pPr>
          <w:r>
            <w:rPr>
              <w:rFonts w:ascii="宋体" w:hAnsi="宋体"/>
              <w:bCs/>
              <w:lang w:val="zh-CN"/>
            </w:rPr>
            <w:fldChar w:fldCharType="begin"/>
          </w:r>
          <w:r>
            <w:rPr>
              <w:rFonts w:ascii="宋体" w:hAnsi="宋体"/>
              <w:bCs/>
              <w:lang w:val="zh-CN"/>
            </w:rPr>
            <w:instrText xml:space="preserve"> HYPERLINK \l _Toc18652 </w:instrText>
          </w:r>
          <w:r>
            <w:rPr>
              <w:rFonts w:ascii="宋体" w:hAnsi="宋体"/>
              <w:bCs/>
              <w:lang w:val="zh-CN"/>
            </w:rPr>
            <w:fldChar w:fldCharType="separate"/>
          </w:r>
          <w:r>
            <w:rPr>
              <w:rFonts w:hint="default"/>
              <w:lang w:val="en-US" w:eastAsia="zh-CN"/>
            </w:rPr>
            <w:t xml:space="preserve">C. </w:t>
          </w:r>
          <w:r>
            <w:rPr>
              <w:rFonts w:hint="eastAsia"/>
              <w:lang w:val="en-US" w:eastAsia="zh-CN"/>
            </w:rPr>
            <w:t>交互效应OLS结果</w:t>
          </w:r>
          <w:r>
            <w:tab/>
          </w:r>
          <w:r>
            <w:fldChar w:fldCharType="begin"/>
          </w:r>
          <w:r>
            <w:instrText xml:space="preserve"> PAGEREF _Toc18652 \h </w:instrText>
          </w:r>
          <w:r>
            <w:fldChar w:fldCharType="separate"/>
          </w:r>
          <w:r>
            <w:t>11</w:t>
          </w:r>
          <w:r>
            <w:fldChar w:fldCharType="end"/>
          </w:r>
          <w:r>
            <w:rPr>
              <w:rFonts w:ascii="宋体" w:hAnsi="宋体"/>
              <w:bCs/>
              <w:lang w:val="zh-CN"/>
            </w:rPr>
            <w:fldChar w:fldCharType="end"/>
          </w:r>
        </w:p>
        <w:p w14:paraId="366DC81C">
          <w:pPr>
            <w:spacing w:line="240" w:lineRule="auto"/>
            <w:rPr>
              <w:rFonts w:ascii="宋体" w:hAnsi="宋体"/>
              <w:bCs/>
              <w:lang w:val="zh-CN"/>
            </w:rPr>
          </w:pPr>
          <w:r>
            <w:rPr>
              <w:rFonts w:ascii="宋体" w:hAnsi="宋体"/>
              <w:bCs/>
              <w:lang w:val="zh-CN"/>
            </w:rPr>
            <w:fldChar w:fldCharType="end"/>
          </w:r>
        </w:p>
        <w:p w14:paraId="1662A7AD">
          <w:pPr>
            <w:spacing w:line="240" w:lineRule="auto"/>
            <w:rPr>
              <w:rFonts w:ascii="宋体" w:hAnsi="宋体"/>
              <w:bCs/>
              <w:lang w:val="zh-CN"/>
            </w:rPr>
          </w:pPr>
        </w:p>
        <w:p w14:paraId="54D8A475">
          <w:pPr>
            <w:spacing w:line="240" w:lineRule="auto"/>
            <w:rPr>
              <w:rFonts w:ascii="宋体" w:hAnsi="宋体"/>
              <w:bCs/>
              <w:lang w:val="zh-CN"/>
            </w:rPr>
          </w:pPr>
        </w:p>
        <w:p w14:paraId="1D352025">
          <w:pPr>
            <w:spacing w:line="240" w:lineRule="auto"/>
            <w:rPr>
              <w:rFonts w:hint="eastAsia"/>
            </w:rPr>
          </w:pPr>
        </w:p>
      </w:sdtContent>
    </w:sdt>
    <w:p w14:paraId="38F0AA82">
      <w:pPr>
        <w:pStyle w:val="2"/>
        <w:numPr>
          <w:ilvl w:val="0"/>
          <w:numId w:val="1"/>
        </w:numPr>
      </w:pPr>
      <w:bookmarkStart w:id="0" w:name="_Toc5124"/>
      <w:r>
        <w:rPr>
          <w:rFonts w:hint="eastAsia"/>
          <w:lang w:val="en-US" w:eastAsia="zh-CN"/>
        </w:rPr>
        <w:t>引言</w:t>
      </w:r>
      <w:bookmarkEnd w:id="0"/>
    </w:p>
    <w:p w14:paraId="0794B1F8">
      <w:pPr>
        <w:keepNext w:val="0"/>
        <w:keepLines w:val="0"/>
        <w:pageBreakBefore w:val="0"/>
        <w:widowControl w:val="0"/>
        <w:kinsoku/>
        <w:wordWrap/>
        <w:overflowPunct/>
        <w:topLinePunct w:val="0"/>
        <w:autoSpaceDE/>
        <w:autoSpaceDN/>
        <w:bidi w:val="0"/>
        <w:adjustRightInd/>
        <w:snapToGrid/>
        <w:ind w:firstLine="480" w:firstLineChars="200"/>
        <w:textAlignment w:val="auto"/>
      </w:pPr>
      <w:r>
        <w:t>糖尿病作为一种复杂的代谢性疾病，其疾病进展受多种生物标志物及人口统计学特征的共同调控。尽管传统的空腹血糖等指标被广泛使用，如何综合考量多维度的基线特征以定量预测一年后的疾病进展，仍是医学统计学面临的重要课题。</w:t>
      </w:r>
    </w:p>
    <w:p w14:paraId="36619B2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t>本研究基于 Efron 等人（2004）提供的经典数据集，旨在解决</w:t>
      </w:r>
      <w:r>
        <w:rPr>
          <w:rFonts w:hint="eastAsia"/>
          <w:lang w:val="en-US" w:eastAsia="zh-CN"/>
        </w:rPr>
        <w:t>三个</w:t>
      </w:r>
      <w:r>
        <w:t>统计学</w:t>
      </w:r>
      <w:r>
        <w:rPr>
          <w:rFonts w:hint="eastAsia"/>
          <w:lang w:val="en-US" w:eastAsia="zh-CN"/>
        </w:rPr>
        <w:t>问题</w:t>
      </w:r>
      <w:r>
        <w:t>：</w:t>
      </w:r>
      <w:r>
        <w:rPr>
          <w:rFonts w:hint="eastAsia"/>
          <w:lang w:val="en-US" w:eastAsia="zh-CN"/>
        </w:rPr>
        <w:t xml:space="preserve">1. </w:t>
      </w:r>
      <w:r>
        <w:rPr>
          <w:b/>
          <w:bCs/>
        </w:rPr>
        <w:t>多重共线性</w:t>
      </w:r>
      <w:r>
        <w:t>：血清生化指标（如总胆固醇、LDL、HDL）之间通常存在高度相关性，</w:t>
      </w:r>
      <w:r>
        <w:rPr>
          <w:rFonts w:hint="eastAsia"/>
          <w:lang w:val="en-US" w:eastAsia="zh-CN"/>
        </w:rPr>
        <w:t>应使用正确方法</w:t>
      </w:r>
      <w:r>
        <w:t>剔除冗余信息并保留关键信号</w:t>
      </w:r>
      <w:r>
        <w:rPr>
          <w:rFonts w:hint="eastAsia"/>
          <w:lang w:eastAsia="zh-CN"/>
        </w:rPr>
        <w:t>；</w:t>
      </w:r>
      <w:r>
        <w:rPr>
          <w:rFonts w:hint="eastAsia"/>
          <w:lang w:val="en-US" w:eastAsia="zh-CN"/>
        </w:rPr>
        <w:t xml:space="preserve">2. </w:t>
      </w:r>
      <w:r>
        <w:rPr>
          <w:b/>
          <w:bCs/>
        </w:rPr>
        <w:t>异方差性</w:t>
      </w:r>
      <w:r>
        <w:t>：疾病进展较快的患者往往伴随着更大的个体内变异，传统OLS假设的同方差性可能失效</w:t>
      </w:r>
      <w:r>
        <w:rPr>
          <w:rFonts w:hint="eastAsia"/>
          <w:lang w:eastAsia="zh-CN"/>
        </w:rPr>
        <w:t>；</w:t>
      </w:r>
      <w:r>
        <w:rPr>
          <w:rFonts w:hint="eastAsia"/>
          <w:lang w:val="en-US" w:eastAsia="zh-CN"/>
        </w:rPr>
        <w:t xml:space="preserve">3. </w:t>
      </w:r>
      <w:r>
        <w:rPr>
          <w:b/>
          <w:bCs/>
        </w:rPr>
        <w:t>效应的调节机制</w:t>
      </w:r>
      <w:r>
        <w:t>：风险因素对疾病进展的影响</w:t>
      </w:r>
      <w:r>
        <w:rPr>
          <w:rFonts w:hint="eastAsia"/>
          <w:lang w:val="en-US" w:eastAsia="zh-CN"/>
        </w:rPr>
        <w:t>可能</w:t>
      </w:r>
      <w:r>
        <w:t>受到其他人口学特征的调节</w:t>
      </w:r>
      <w:r>
        <w:rPr>
          <w:rFonts w:hint="eastAsia"/>
          <w:lang w:eastAsia="zh-CN"/>
        </w:rPr>
        <w:t>。</w:t>
      </w:r>
    </w:p>
    <w:p w14:paraId="1A64E8E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通过整合逐步回归变量选择、异方差稳健标准误（HC3）及Lasso正则化技术，本文试图构建一个更符合临床实际且具有稳健性的解释性模型。</w:t>
      </w:r>
    </w:p>
    <w:p w14:paraId="25F28059">
      <w:pPr>
        <w:pStyle w:val="2"/>
        <w:numPr>
          <w:ilvl w:val="0"/>
          <w:numId w:val="1"/>
        </w:numPr>
      </w:pPr>
      <w:bookmarkStart w:id="1" w:name="_Toc7203"/>
      <w:r>
        <w:rPr>
          <w:rFonts w:hint="eastAsia"/>
        </w:rPr>
        <w:t>数据</w:t>
      </w:r>
      <w:r>
        <w:rPr>
          <w:rFonts w:hint="eastAsia"/>
          <w:lang w:val="en-US" w:eastAsia="zh-CN"/>
        </w:rPr>
        <w:t>与建模方法</w:t>
      </w:r>
      <w:bookmarkEnd w:id="1"/>
    </w:p>
    <w:p w14:paraId="71F3341A">
      <w:pPr>
        <w:pStyle w:val="3"/>
        <w:numPr>
          <w:ilvl w:val="1"/>
          <w:numId w:val="1"/>
        </w:numPr>
      </w:pPr>
      <w:bookmarkStart w:id="2" w:name="_Toc6406"/>
      <w:r>
        <w:rPr>
          <w:rFonts w:hint="eastAsia"/>
          <w:lang w:val="en-US" w:eastAsia="zh-CN"/>
        </w:rPr>
        <w:t>描述性统计</w:t>
      </w:r>
      <w:bookmarkEnd w:id="2"/>
    </w:p>
    <w:p w14:paraId="3DB2C84B">
      <w:pPr>
        <w:spacing w:after="156" w:afterLines="50"/>
        <w:ind w:firstLine="480" w:firstLineChars="200"/>
      </w:pPr>
      <w:r>
        <w:rPr>
          <w:rFonts w:hint="eastAsia"/>
          <w:lang w:val="en-US" w:eastAsia="zh-CN"/>
        </w:rPr>
        <w:t>数据已经标准化处理，因此先对数据的分布进行初步探查</w:t>
      </w:r>
      <w:r>
        <w:rPr>
          <w:rFonts w:hint="eastAsia"/>
        </w:rPr>
        <w:t>，</w:t>
      </w:r>
      <w:r>
        <w:rPr>
          <w:rFonts w:hint="eastAsia"/>
          <w:lang w:val="en-US" w:eastAsia="zh-CN"/>
        </w:rPr>
        <w:t>研究所有变量的最小值、25%分位数、中位数、75%分位数以及最大值，并对每个变量进行Jarque-Bera正态性检验，拒绝原假设则不符合正态分布，</w:t>
      </w:r>
      <w:r>
        <w:rPr>
          <w:rFonts w:hint="eastAsia"/>
        </w:rPr>
        <w:t>变量描述性</w:t>
      </w:r>
      <w:r>
        <w:rPr>
          <w:rFonts w:hint="eastAsia"/>
          <w:lang w:val="en-US" w:eastAsia="zh-CN"/>
        </w:rPr>
        <w:t>统计结果</w:t>
      </w:r>
      <w:r>
        <w:rPr>
          <w:rFonts w:hint="eastAsia"/>
        </w:rPr>
        <w:t>如表1所示：</w:t>
      </w:r>
    </w:p>
    <w:p w14:paraId="5BB21A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b/>
          <w:bCs/>
          <w:lang w:val="en-US"/>
        </w:rPr>
      </w:pPr>
      <w:r>
        <w:rPr>
          <w:rFonts w:hint="eastAsia" w:ascii="宋体" w:hAnsi="宋体" w:eastAsia="宋体" w:cs="Times New Roman"/>
          <w:b/>
          <w:bCs/>
          <w:color w:val="000000"/>
          <w:kern w:val="0"/>
          <w:sz w:val="21"/>
          <w:szCs w:val="21"/>
          <w:lang w:val="en-US" w:eastAsia="zh-CN" w:bidi="ar"/>
        </w:rPr>
        <w:t>表1：变量描述性统计</w:t>
      </w:r>
    </w:p>
    <w:tbl>
      <w:tblPr>
        <w:tblStyle w:val="14"/>
        <w:tblW w:w="4998"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Layout w:type="autofit"/>
        <w:tblCellMar>
          <w:top w:w="0" w:type="dxa"/>
          <w:left w:w="108" w:type="dxa"/>
          <w:bottom w:w="0" w:type="dxa"/>
          <w:right w:w="108" w:type="dxa"/>
        </w:tblCellMar>
      </w:tblPr>
      <w:tblGrid>
        <w:gridCol w:w="974"/>
        <w:gridCol w:w="1756"/>
        <w:gridCol w:w="1025"/>
        <w:gridCol w:w="1027"/>
        <w:gridCol w:w="1102"/>
        <w:gridCol w:w="843"/>
        <w:gridCol w:w="919"/>
        <w:gridCol w:w="873"/>
      </w:tblGrid>
      <w:tr w14:paraId="34DBDEE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80" w:hRule="atLeast"/>
        </w:trPr>
        <w:tc>
          <w:tcPr>
            <w:tcW w:w="571" w:type="pct"/>
            <w:tcBorders>
              <w:top w:val="single" w:color="auto" w:sz="12" w:space="0"/>
              <w:left w:val="nil"/>
              <w:bottom w:val="single" w:color="auto" w:sz="6" w:space="0"/>
              <w:right w:val="nil"/>
            </w:tcBorders>
            <w:shd w:val="clear" w:color="auto" w:fill="auto"/>
            <w:noWrap/>
            <w:vAlign w:val="center"/>
          </w:tcPr>
          <w:p w14:paraId="35454F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Variable</w:t>
            </w:r>
          </w:p>
        </w:tc>
        <w:tc>
          <w:tcPr>
            <w:tcW w:w="1030" w:type="pct"/>
            <w:tcBorders>
              <w:top w:val="single" w:color="auto" w:sz="12" w:space="0"/>
              <w:left w:val="nil"/>
              <w:bottom w:val="single" w:color="auto" w:sz="6" w:space="0"/>
              <w:right w:val="nil"/>
            </w:tcBorders>
            <w:shd w:val="clear" w:color="auto" w:fill="auto"/>
            <w:noWrap/>
            <w:vAlign w:val="center"/>
          </w:tcPr>
          <w:p w14:paraId="74AB75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Explaination</w:t>
            </w:r>
          </w:p>
        </w:tc>
        <w:tc>
          <w:tcPr>
            <w:tcW w:w="601" w:type="pct"/>
            <w:tcBorders>
              <w:top w:val="single" w:color="auto" w:sz="12" w:space="0"/>
              <w:left w:val="nil"/>
              <w:bottom w:val="single" w:color="auto" w:sz="6" w:space="0"/>
              <w:right w:val="nil"/>
            </w:tcBorders>
            <w:shd w:val="clear" w:color="auto" w:fill="auto"/>
            <w:noWrap/>
            <w:vAlign w:val="center"/>
          </w:tcPr>
          <w:p w14:paraId="6B951E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Min</w:t>
            </w:r>
          </w:p>
        </w:tc>
        <w:tc>
          <w:tcPr>
            <w:tcW w:w="602" w:type="pct"/>
            <w:tcBorders>
              <w:top w:val="single" w:color="auto" w:sz="12" w:space="0"/>
              <w:left w:val="nil"/>
              <w:bottom w:val="single" w:color="auto" w:sz="6" w:space="0"/>
              <w:right w:val="nil"/>
            </w:tcBorders>
            <w:shd w:val="clear" w:color="auto" w:fill="auto"/>
            <w:noWrap/>
            <w:vAlign w:val="center"/>
          </w:tcPr>
          <w:p w14:paraId="103119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25%</w:t>
            </w:r>
          </w:p>
        </w:tc>
        <w:tc>
          <w:tcPr>
            <w:tcW w:w="646" w:type="pct"/>
            <w:tcBorders>
              <w:top w:val="single" w:color="auto" w:sz="12" w:space="0"/>
              <w:left w:val="nil"/>
              <w:bottom w:val="single" w:color="auto" w:sz="6" w:space="0"/>
              <w:right w:val="nil"/>
            </w:tcBorders>
            <w:shd w:val="clear" w:color="auto" w:fill="auto"/>
            <w:noWrap/>
            <w:vAlign w:val="center"/>
          </w:tcPr>
          <w:p w14:paraId="41FF99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50%</w:t>
            </w:r>
          </w:p>
        </w:tc>
        <w:tc>
          <w:tcPr>
            <w:tcW w:w="494" w:type="pct"/>
            <w:tcBorders>
              <w:top w:val="single" w:color="auto" w:sz="12" w:space="0"/>
              <w:left w:val="nil"/>
              <w:bottom w:val="single" w:color="auto" w:sz="6" w:space="0"/>
              <w:right w:val="nil"/>
            </w:tcBorders>
            <w:shd w:val="clear" w:color="auto" w:fill="auto"/>
            <w:noWrap/>
            <w:vAlign w:val="center"/>
          </w:tcPr>
          <w:p w14:paraId="7A676D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75%</w:t>
            </w:r>
          </w:p>
        </w:tc>
        <w:tc>
          <w:tcPr>
            <w:tcW w:w="539" w:type="pct"/>
            <w:tcBorders>
              <w:top w:val="single" w:color="auto" w:sz="12" w:space="0"/>
              <w:left w:val="nil"/>
              <w:bottom w:val="single" w:color="auto" w:sz="6" w:space="0"/>
              <w:right w:val="nil"/>
            </w:tcBorders>
            <w:shd w:val="clear" w:color="auto" w:fill="auto"/>
            <w:noWrap/>
            <w:vAlign w:val="center"/>
          </w:tcPr>
          <w:p w14:paraId="677D93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Max</w:t>
            </w:r>
          </w:p>
        </w:tc>
        <w:tc>
          <w:tcPr>
            <w:tcW w:w="512" w:type="pct"/>
            <w:tcBorders>
              <w:top w:val="single" w:color="auto" w:sz="12" w:space="0"/>
              <w:left w:val="nil"/>
              <w:bottom w:val="single" w:color="auto" w:sz="6" w:space="0"/>
              <w:right w:val="nil"/>
            </w:tcBorders>
            <w:shd w:val="clear" w:color="auto" w:fill="auto"/>
            <w:noWrap/>
            <w:vAlign w:val="center"/>
          </w:tcPr>
          <w:p w14:paraId="51ABF6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JB-test</w:t>
            </w:r>
          </w:p>
        </w:tc>
      </w:tr>
      <w:tr w14:paraId="51A43865">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single" w:color="auto" w:sz="6" w:space="0"/>
              <w:left w:val="nil"/>
              <w:bottom w:val="nil"/>
              <w:right w:val="nil"/>
            </w:tcBorders>
            <w:shd w:val="clear" w:color="auto" w:fill="auto"/>
            <w:noWrap/>
            <w:vAlign w:val="center"/>
          </w:tcPr>
          <w:p w14:paraId="5A424A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age</w:t>
            </w:r>
          </w:p>
        </w:tc>
        <w:tc>
          <w:tcPr>
            <w:tcW w:w="1030" w:type="pct"/>
            <w:tcBorders>
              <w:top w:val="single" w:color="auto" w:sz="6" w:space="0"/>
              <w:left w:val="nil"/>
              <w:bottom w:val="nil"/>
              <w:right w:val="nil"/>
            </w:tcBorders>
            <w:shd w:val="clear" w:color="auto" w:fill="auto"/>
            <w:noWrap/>
            <w:vAlign w:val="center"/>
          </w:tcPr>
          <w:p w14:paraId="0B37BD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患者年龄</w:t>
            </w:r>
          </w:p>
        </w:tc>
        <w:tc>
          <w:tcPr>
            <w:tcW w:w="601" w:type="pct"/>
            <w:tcBorders>
              <w:top w:val="single" w:color="auto" w:sz="6" w:space="0"/>
              <w:left w:val="nil"/>
              <w:bottom w:val="nil"/>
              <w:right w:val="nil"/>
            </w:tcBorders>
            <w:shd w:val="clear" w:color="auto" w:fill="auto"/>
            <w:noWrap/>
            <w:vAlign w:val="center"/>
          </w:tcPr>
          <w:p w14:paraId="21DA563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-0.107</w:t>
            </w:r>
          </w:p>
        </w:tc>
        <w:tc>
          <w:tcPr>
            <w:tcW w:w="602" w:type="pct"/>
            <w:tcBorders>
              <w:top w:val="single" w:color="auto" w:sz="6" w:space="0"/>
              <w:left w:val="nil"/>
              <w:bottom w:val="nil"/>
              <w:right w:val="nil"/>
            </w:tcBorders>
            <w:shd w:val="clear" w:color="auto" w:fill="auto"/>
            <w:noWrap/>
            <w:vAlign w:val="center"/>
          </w:tcPr>
          <w:p w14:paraId="1DEDBF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-0.037</w:t>
            </w:r>
          </w:p>
        </w:tc>
        <w:tc>
          <w:tcPr>
            <w:tcW w:w="646" w:type="pct"/>
            <w:tcBorders>
              <w:top w:val="single" w:color="auto" w:sz="6" w:space="0"/>
              <w:left w:val="nil"/>
              <w:bottom w:val="nil"/>
              <w:right w:val="nil"/>
            </w:tcBorders>
            <w:shd w:val="clear" w:color="auto" w:fill="auto"/>
            <w:noWrap/>
            <w:vAlign w:val="center"/>
          </w:tcPr>
          <w:p w14:paraId="3515D1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0.005</w:t>
            </w:r>
          </w:p>
        </w:tc>
        <w:tc>
          <w:tcPr>
            <w:tcW w:w="494" w:type="pct"/>
            <w:tcBorders>
              <w:top w:val="single" w:color="auto" w:sz="6" w:space="0"/>
              <w:left w:val="nil"/>
              <w:bottom w:val="nil"/>
              <w:right w:val="nil"/>
            </w:tcBorders>
            <w:shd w:val="clear" w:color="auto" w:fill="auto"/>
            <w:noWrap/>
            <w:vAlign w:val="center"/>
          </w:tcPr>
          <w:p w14:paraId="63603F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0.038</w:t>
            </w:r>
          </w:p>
        </w:tc>
        <w:tc>
          <w:tcPr>
            <w:tcW w:w="539" w:type="pct"/>
            <w:tcBorders>
              <w:top w:val="single" w:color="auto" w:sz="6" w:space="0"/>
              <w:left w:val="nil"/>
              <w:bottom w:val="nil"/>
              <w:right w:val="nil"/>
            </w:tcBorders>
            <w:shd w:val="clear" w:color="auto" w:fill="auto"/>
            <w:noWrap/>
            <w:vAlign w:val="center"/>
          </w:tcPr>
          <w:p w14:paraId="2B0CA3D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0.111</w:t>
            </w:r>
          </w:p>
        </w:tc>
        <w:tc>
          <w:tcPr>
            <w:tcW w:w="512" w:type="pct"/>
            <w:tcBorders>
              <w:top w:val="single" w:color="auto" w:sz="6" w:space="0"/>
              <w:left w:val="nil"/>
              <w:bottom w:val="nil"/>
              <w:right w:val="nil"/>
            </w:tcBorders>
            <w:shd w:val="clear" w:color="auto" w:fill="auto"/>
            <w:noWrap/>
            <w:vAlign w:val="center"/>
          </w:tcPr>
          <w:p w14:paraId="567083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7D053822">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color="auto" w:fill="auto"/>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56947D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sex</w:t>
            </w:r>
          </w:p>
        </w:tc>
        <w:tc>
          <w:tcPr>
            <w:tcW w:w="1030" w:type="pct"/>
            <w:tcBorders>
              <w:top w:val="nil"/>
              <w:left w:val="nil"/>
              <w:bottom w:val="nil"/>
              <w:right w:val="nil"/>
            </w:tcBorders>
            <w:shd w:val="clear" w:color="auto" w:fill="auto"/>
            <w:noWrap/>
            <w:vAlign w:val="center"/>
          </w:tcPr>
          <w:p w14:paraId="29F12C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性别</w:t>
            </w:r>
          </w:p>
        </w:tc>
        <w:tc>
          <w:tcPr>
            <w:tcW w:w="601" w:type="pct"/>
            <w:tcBorders>
              <w:top w:val="nil"/>
              <w:left w:val="nil"/>
              <w:bottom w:val="nil"/>
              <w:right w:val="nil"/>
            </w:tcBorders>
            <w:shd w:val="clear" w:color="auto" w:fill="auto"/>
            <w:noWrap/>
            <w:vAlign w:val="center"/>
          </w:tcPr>
          <w:p w14:paraId="7CA76F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-0.045</w:t>
            </w:r>
          </w:p>
        </w:tc>
        <w:tc>
          <w:tcPr>
            <w:tcW w:w="602" w:type="pct"/>
            <w:tcBorders>
              <w:top w:val="nil"/>
              <w:left w:val="nil"/>
              <w:bottom w:val="nil"/>
              <w:right w:val="nil"/>
            </w:tcBorders>
            <w:shd w:val="clear" w:color="auto" w:fill="auto"/>
            <w:noWrap/>
            <w:vAlign w:val="center"/>
          </w:tcPr>
          <w:p w14:paraId="258C81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-0.045</w:t>
            </w:r>
          </w:p>
        </w:tc>
        <w:tc>
          <w:tcPr>
            <w:tcW w:w="646" w:type="pct"/>
            <w:tcBorders>
              <w:top w:val="nil"/>
              <w:left w:val="nil"/>
              <w:bottom w:val="nil"/>
              <w:right w:val="nil"/>
            </w:tcBorders>
            <w:shd w:val="clear" w:color="auto" w:fill="auto"/>
            <w:noWrap/>
            <w:vAlign w:val="center"/>
          </w:tcPr>
          <w:p w14:paraId="2607A5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-0.045</w:t>
            </w:r>
          </w:p>
        </w:tc>
        <w:tc>
          <w:tcPr>
            <w:tcW w:w="494" w:type="pct"/>
            <w:tcBorders>
              <w:top w:val="nil"/>
              <w:left w:val="nil"/>
              <w:bottom w:val="nil"/>
              <w:right w:val="nil"/>
            </w:tcBorders>
            <w:shd w:val="clear" w:color="auto" w:fill="auto"/>
            <w:noWrap/>
            <w:vAlign w:val="center"/>
          </w:tcPr>
          <w:p w14:paraId="39FF26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0.051</w:t>
            </w:r>
          </w:p>
        </w:tc>
        <w:tc>
          <w:tcPr>
            <w:tcW w:w="539" w:type="pct"/>
            <w:tcBorders>
              <w:top w:val="nil"/>
              <w:left w:val="nil"/>
              <w:bottom w:val="nil"/>
              <w:right w:val="nil"/>
            </w:tcBorders>
            <w:shd w:val="clear" w:color="auto" w:fill="auto"/>
            <w:noWrap/>
            <w:vAlign w:val="center"/>
          </w:tcPr>
          <w:p w14:paraId="743A20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0.051</w:t>
            </w:r>
          </w:p>
        </w:tc>
        <w:tc>
          <w:tcPr>
            <w:tcW w:w="512" w:type="pct"/>
            <w:tcBorders>
              <w:top w:val="nil"/>
              <w:left w:val="nil"/>
              <w:bottom w:val="nil"/>
              <w:right w:val="nil"/>
            </w:tcBorders>
            <w:shd w:val="clear" w:color="auto" w:fill="auto"/>
            <w:noWrap/>
            <w:vAlign w:val="center"/>
          </w:tcPr>
          <w:p w14:paraId="4D1505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1BB5E866">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26FD53B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bmi</w:t>
            </w:r>
          </w:p>
        </w:tc>
        <w:tc>
          <w:tcPr>
            <w:tcW w:w="1030" w:type="pct"/>
            <w:tcBorders>
              <w:top w:val="nil"/>
              <w:left w:val="nil"/>
              <w:bottom w:val="nil"/>
              <w:right w:val="nil"/>
            </w:tcBorders>
            <w:shd w:val="clear" w:color="auto" w:fill="auto"/>
            <w:noWrap/>
            <w:vAlign w:val="center"/>
          </w:tcPr>
          <w:p w14:paraId="6E2B00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体重指数</w:t>
            </w:r>
          </w:p>
        </w:tc>
        <w:tc>
          <w:tcPr>
            <w:tcW w:w="601" w:type="pct"/>
            <w:tcBorders>
              <w:top w:val="nil"/>
              <w:left w:val="nil"/>
              <w:bottom w:val="nil"/>
              <w:right w:val="nil"/>
            </w:tcBorders>
            <w:shd w:val="clear" w:color="auto" w:fill="auto"/>
            <w:noWrap/>
            <w:vAlign w:val="center"/>
          </w:tcPr>
          <w:p w14:paraId="69F003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-0.090</w:t>
            </w:r>
          </w:p>
        </w:tc>
        <w:tc>
          <w:tcPr>
            <w:tcW w:w="602" w:type="pct"/>
            <w:tcBorders>
              <w:top w:val="nil"/>
              <w:left w:val="nil"/>
              <w:bottom w:val="nil"/>
              <w:right w:val="nil"/>
            </w:tcBorders>
            <w:shd w:val="clear" w:color="auto" w:fill="auto"/>
            <w:noWrap/>
            <w:vAlign w:val="center"/>
          </w:tcPr>
          <w:p w14:paraId="0DEF7C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-0.034</w:t>
            </w:r>
          </w:p>
        </w:tc>
        <w:tc>
          <w:tcPr>
            <w:tcW w:w="646" w:type="pct"/>
            <w:tcBorders>
              <w:top w:val="nil"/>
              <w:left w:val="nil"/>
              <w:bottom w:val="nil"/>
              <w:right w:val="nil"/>
            </w:tcBorders>
            <w:shd w:val="clear" w:color="auto" w:fill="auto"/>
            <w:noWrap/>
            <w:vAlign w:val="center"/>
          </w:tcPr>
          <w:p w14:paraId="37E0A1F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-0.007</w:t>
            </w:r>
          </w:p>
        </w:tc>
        <w:tc>
          <w:tcPr>
            <w:tcW w:w="494" w:type="pct"/>
            <w:tcBorders>
              <w:top w:val="nil"/>
              <w:left w:val="nil"/>
              <w:bottom w:val="nil"/>
              <w:right w:val="nil"/>
            </w:tcBorders>
            <w:shd w:val="clear" w:color="auto" w:fill="auto"/>
            <w:noWrap/>
            <w:vAlign w:val="center"/>
          </w:tcPr>
          <w:p w14:paraId="1BEBCD0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0.031</w:t>
            </w:r>
          </w:p>
        </w:tc>
        <w:tc>
          <w:tcPr>
            <w:tcW w:w="539" w:type="pct"/>
            <w:tcBorders>
              <w:top w:val="nil"/>
              <w:left w:val="nil"/>
              <w:bottom w:val="nil"/>
              <w:right w:val="nil"/>
            </w:tcBorders>
            <w:shd w:val="clear" w:color="auto" w:fill="auto"/>
            <w:noWrap/>
            <w:vAlign w:val="center"/>
          </w:tcPr>
          <w:p w14:paraId="32BAB3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0.171</w:t>
            </w:r>
          </w:p>
        </w:tc>
        <w:tc>
          <w:tcPr>
            <w:tcW w:w="512" w:type="pct"/>
            <w:tcBorders>
              <w:top w:val="nil"/>
              <w:left w:val="nil"/>
              <w:bottom w:val="nil"/>
              <w:right w:val="nil"/>
            </w:tcBorders>
            <w:shd w:val="clear" w:color="auto" w:fill="auto"/>
            <w:noWrap/>
            <w:vAlign w:val="center"/>
          </w:tcPr>
          <w:p w14:paraId="741821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3793722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67CFC1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bp</w:t>
            </w:r>
          </w:p>
        </w:tc>
        <w:tc>
          <w:tcPr>
            <w:tcW w:w="1030" w:type="pct"/>
            <w:tcBorders>
              <w:top w:val="nil"/>
              <w:left w:val="nil"/>
              <w:bottom w:val="nil"/>
              <w:right w:val="nil"/>
            </w:tcBorders>
            <w:shd w:val="clear" w:color="auto" w:fill="auto"/>
            <w:noWrap/>
            <w:vAlign w:val="center"/>
          </w:tcPr>
          <w:p w14:paraId="2BC0DC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平均血压</w:t>
            </w:r>
          </w:p>
        </w:tc>
        <w:tc>
          <w:tcPr>
            <w:tcW w:w="601" w:type="pct"/>
            <w:tcBorders>
              <w:top w:val="nil"/>
              <w:left w:val="nil"/>
              <w:bottom w:val="nil"/>
              <w:right w:val="nil"/>
            </w:tcBorders>
            <w:shd w:val="clear" w:color="auto" w:fill="auto"/>
            <w:noWrap/>
            <w:vAlign w:val="center"/>
          </w:tcPr>
          <w:p w14:paraId="4444B2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-0.112</w:t>
            </w:r>
          </w:p>
        </w:tc>
        <w:tc>
          <w:tcPr>
            <w:tcW w:w="602" w:type="pct"/>
            <w:tcBorders>
              <w:top w:val="nil"/>
              <w:left w:val="nil"/>
              <w:bottom w:val="nil"/>
              <w:right w:val="nil"/>
            </w:tcBorders>
            <w:shd w:val="clear" w:color="auto" w:fill="auto"/>
            <w:noWrap/>
            <w:vAlign w:val="center"/>
          </w:tcPr>
          <w:p w14:paraId="2EC18A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-0.037</w:t>
            </w:r>
          </w:p>
        </w:tc>
        <w:tc>
          <w:tcPr>
            <w:tcW w:w="646" w:type="pct"/>
            <w:tcBorders>
              <w:top w:val="nil"/>
              <w:left w:val="nil"/>
              <w:bottom w:val="nil"/>
              <w:right w:val="nil"/>
            </w:tcBorders>
            <w:shd w:val="clear" w:color="auto" w:fill="auto"/>
            <w:noWrap/>
            <w:vAlign w:val="center"/>
          </w:tcPr>
          <w:p w14:paraId="071B0B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-0.006</w:t>
            </w:r>
          </w:p>
        </w:tc>
        <w:tc>
          <w:tcPr>
            <w:tcW w:w="494" w:type="pct"/>
            <w:tcBorders>
              <w:top w:val="nil"/>
              <w:left w:val="nil"/>
              <w:bottom w:val="nil"/>
              <w:right w:val="nil"/>
            </w:tcBorders>
            <w:shd w:val="clear" w:color="auto" w:fill="auto"/>
            <w:noWrap/>
            <w:vAlign w:val="center"/>
          </w:tcPr>
          <w:p w14:paraId="368604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0.036</w:t>
            </w:r>
          </w:p>
        </w:tc>
        <w:tc>
          <w:tcPr>
            <w:tcW w:w="539" w:type="pct"/>
            <w:tcBorders>
              <w:top w:val="nil"/>
              <w:left w:val="nil"/>
              <w:bottom w:val="nil"/>
              <w:right w:val="nil"/>
            </w:tcBorders>
            <w:shd w:val="clear" w:color="auto" w:fill="auto"/>
            <w:noWrap/>
            <w:vAlign w:val="center"/>
          </w:tcPr>
          <w:p w14:paraId="1C868E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0.132</w:t>
            </w:r>
          </w:p>
        </w:tc>
        <w:tc>
          <w:tcPr>
            <w:tcW w:w="512" w:type="pct"/>
            <w:tcBorders>
              <w:top w:val="nil"/>
              <w:left w:val="nil"/>
              <w:bottom w:val="nil"/>
              <w:right w:val="nil"/>
            </w:tcBorders>
            <w:shd w:val="clear" w:color="auto" w:fill="auto"/>
            <w:noWrap/>
            <w:vAlign w:val="center"/>
          </w:tcPr>
          <w:p w14:paraId="52C4FC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1AABADF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4D87E2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s1</w:t>
            </w:r>
          </w:p>
        </w:tc>
        <w:tc>
          <w:tcPr>
            <w:tcW w:w="1030" w:type="pct"/>
            <w:tcBorders>
              <w:top w:val="nil"/>
              <w:left w:val="nil"/>
              <w:bottom w:val="nil"/>
              <w:right w:val="nil"/>
            </w:tcBorders>
            <w:shd w:val="clear" w:color="auto" w:fill="auto"/>
            <w:noWrap/>
            <w:vAlign w:val="center"/>
          </w:tcPr>
          <w:p w14:paraId="7DD166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总胆固醇</w:t>
            </w:r>
          </w:p>
        </w:tc>
        <w:tc>
          <w:tcPr>
            <w:tcW w:w="601" w:type="pct"/>
            <w:tcBorders>
              <w:top w:val="nil"/>
              <w:left w:val="nil"/>
              <w:bottom w:val="nil"/>
              <w:right w:val="nil"/>
            </w:tcBorders>
            <w:shd w:val="clear" w:color="auto" w:fill="auto"/>
            <w:noWrap/>
            <w:vAlign w:val="center"/>
          </w:tcPr>
          <w:p w14:paraId="208D61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-0.127</w:t>
            </w:r>
          </w:p>
        </w:tc>
        <w:tc>
          <w:tcPr>
            <w:tcW w:w="602" w:type="pct"/>
            <w:tcBorders>
              <w:top w:val="nil"/>
              <w:left w:val="nil"/>
              <w:bottom w:val="nil"/>
              <w:right w:val="nil"/>
            </w:tcBorders>
            <w:shd w:val="clear" w:color="auto" w:fill="auto"/>
            <w:noWrap/>
            <w:vAlign w:val="center"/>
          </w:tcPr>
          <w:p w14:paraId="2B225E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-0.034</w:t>
            </w:r>
          </w:p>
        </w:tc>
        <w:tc>
          <w:tcPr>
            <w:tcW w:w="646" w:type="pct"/>
            <w:tcBorders>
              <w:top w:val="nil"/>
              <w:left w:val="nil"/>
              <w:bottom w:val="nil"/>
              <w:right w:val="nil"/>
            </w:tcBorders>
            <w:shd w:val="clear" w:color="auto" w:fill="auto"/>
            <w:noWrap/>
            <w:vAlign w:val="center"/>
          </w:tcPr>
          <w:p w14:paraId="3E7C67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-0.004</w:t>
            </w:r>
          </w:p>
        </w:tc>
        <w:tc>
          <w:tcPr>
            <w:tcW w:w="494" w:type="pct"/>
            <w:tcBorders>
              <w:top w:val="nil"/>
              <w:left w:val="nil"/>
              <w:bottom w:val="nil"/>
              <w:right w:val="nil"/>
            </w:tcBorders>
            <w:shd w:val="clear" w:color="auto" w:fill="auto"/>
            <w:noWrap/>
            <w:vAlign w:val="center"/>
          </w:tcPr>
          <w:p w14:paraId="3B8260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0.028</w:t>
            </w:r>
          </w:p>
        </w:tc>
        <w:tc>
          <w:tcPr>
            <w:tcW w:w="539" w:type="pct"/>
            <w:tcBorders>
              <w:top w:val="nil"/>
              <w:left w:val="nil"/>
              <w:bottom w:val="nil"/>
              <w:right w:val="nil"/>
            </w:tcBorders>
            <w:shd w:val="clear" w:color="auto" w:fill="auto"/>
            <w:noWrap/>
            <w:vAlign w:val="center"/>
          </w:tcPr>
          <w:p w14:paraId="1766CD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0.154</w:t>
            </w:r>
          </w:p>
        </w:tc>
        <w:tc>
          <w:tcPr>
            <w:tcW w:w="512" w:type="pct"/>
            <w:tcBorders>
              <w:top w:val="nil"/>
              <w:left w:val="nil"/>
              <w:bottom w:val="nil"/>
              <w:right w:val="nil"/>
            </w:tcBorders>
            <w:shd w:val="clear" w:color="auto" w:fill="auto"/>
            <w:noWrap/>
            <w:vAlign w:val="center"/>
          </w:tcPr>
          <w:p w14:paraId="7B1D51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43C9E96E">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50C75E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s2</w:t>
            </w:r>
          </w:p>
        </w:tc>
        <w:tc>
          <w:tcPr>
            <w:tcW w:w="1030" w:type="pct"/>
            <w:tcBorders>
              <w:top w:val="nil"/>
              <w:left w:val="nil"/>
              <w:bottom w:val="nil"/>
              <w:right w:val="nil"/>
            </w:tcBorders>
            <w:shd w:val="clear" w:color="auto" w:fill="auto"/>
            <w:noWrap/>
            <w:vAlign w:val="center"/>
          </w:tcPr>
          <w:p w14:paraId="2FC4CD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低密度脂蛋白</w:t>
            </w:r>
          </w:p>
        </w:tc>
        <w:tc>
          <w:tcPr>
            <w:tcW w:w="601" w:type="pct"/>
            <w:tcBorders>
              <w:top w:val="nil"/>
              <w:left w:val="nil"/>
              <w:bottom w:val="nil"/>
              <w:right w:val="nil"/>
            </w:tcBorders>
            <w:shd w:val="clear" w:color="auto" w:fill="auto"/>
            <w:noWrap/>
            <w:vAlign w:val="center"/>
          </w:tcPr>
          <w:p w14:paraId="6CCF64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-0.116</w:t>
            </w:r>
          </w:p>
        </w:tc>
        <w:tc>
          <w:tcPr>
            <w:tcW w:w="602" w:type="pct"/>
            <w:tcBorders>
              <w:top w:val="nil"/>
              <w:left w:val="nil"/>
              <w:bottom w:val="nil"/>
              <w:right w:val="nil"/>
            </w:tcBorders>
            <w:shd w:val="clear" w:color="auto" w:fill="auto"/>
            <w:noWrap/>
            <w:vAlign w:val="center"/>
          </w:tcPr>
          <w:p w14:paraId="2EF615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-0.030</w:t>
            </w:r>
          </w:p>
        </w:tc>
        <w:tc>
          <w:tcPr>
            <w:tcW w:w="646" w:type="pct"/>
            <w:tcBorders>
              <w:top w:val="nil"/>
              <w:left w:val="nil"/>
              <w:bottom w:val="nil"/>
              <w:right w:val="nil"/>
            </w:tcBorders>
            <w:shd w:val="clear" w:color="auto" w:fill="auto"/>
            <w:noWrap/>
            <w:vAlign w:val="center"/>
          </w:tcPr>
          <w:p w14:paraId="33D245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-0.004</w:t>
            </w:r>
          </w:p>
        </w:tc>
        <w:tc>
          <w:tcPr>
            <w:tcW w:w="494" w:type="pct"/>
            <w:tcBorders>
              <w:top w:val="nil"/>
              <w:left w:val="nil"/>
              <w:bottom w:val="nil"/>
              <w:right w:val="nil"/>
            </w:tcBorders>
            <w:shd w:val="clear" w:color="auto" w:fill="auto"/>
            <w:noWrap/>
            <w:vAlign w:val="center"/>
          </w:tcPr>
          <w:p w14:paraId="4E0604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0.030</w:t>
            </w:r>
          </w:p>
        </w:tc>
        <w:tc>
          <w:tcPr>
            <w:tcW w:w="539" w:type="pct"/>
            <w:tcBorders>
              <w:top w:val="nil"/>
              <w:left w:val="nil"/>
              <w:bottom w:val="nil"/>
              <w:right w:val="nil"/>
            </w:tcBorders>
            <w:shd w:val="clear" w:color="auto" w:fill="auto"/>
            <w:noWrap/>
            <w:vAlign w:val="center"/>
          </w:tcPr>
          <w:p w14:paraId="22D62D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0.199</w:t>
            </w:r>
          </w:p>
        </w:tc>
        <w:tc>
          <w:tcPr>
            <w:tcW w:w="512" w:type="pct"/>
            <w:tcBorders>
              <w:top w:val="nil"/>
              <w:left w:val="nil"/>
              <w:bottom w:val="nil"/>
              <w:right w:val="nil"/>
            </w:tcBorders>
            <w:shd w:val="clear" w:color="auto" w:fill="auto"/>
            <w:noWrap/>
            <w:vAlign w:val="center"/>
          </w:tcPr>
          <w:p w14:paraId="29F1A3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5753DC02">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67275F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s3</w:t>
            </w:r>
          </w:p>
        </w:tc>
        <w:tc>
          <w:tcPr>
            <w:tcW w:w="1030" w:type="pct"/>
            <w:tcBorders>
              <w:top w:val="nil"/>
              <w:left w:val="nil"/>
              <w:bottom w:val="nil"/>
              <w:right w:val="nil"/>
            </w:tcBorders>
            <w:shd w:val="clear" w:color="auto" w:fill="auto"/>
            <w:noWrap/>
            <w:vAlign w:val="center"/>
          </w:tcPr>
          <w:p w14:paraId="5DA872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高密度脂蛋白</w:t>
            </w:r>
          </w:p>
        </w:tc>
        <w:tc>
          <w:tcPr>
            <w:tcW w:w="601" w:type="pct"/>
            <w:tcBorders>
              <w:top w:val="nil"/>
              <w:left w:val="nil"/>
              <w:bottom w:val="nil"/>
              <w:right w:val="nil"/>
            </w:tcBorders>
            <w:shd w:val="clear" w:color="auto" w:fill="auto"/>
            <w:noWrap/>
            <w:vAlign w:val="center"/>
          </w:tcPr>
          <w:p w14:paraId="07658D6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-0.102</w:t>
            </w:r>
          </w:p>
        </w:tc>
        <w:tc>
          <w:tcPr>
            <w:tcW w:w="602" w:type="pct"/>
            <w:tcBorders>
              <w:top w:val="nil"/>
              <w:left w:val="nil"/>
              <w:bottom w:val="nil"/>
              <w:right w:val="nil"/>
            </w:tcBorders>
            <w:shd w:val="clear" w:color="auto" w:fill="auto"/>
            <w:noWrap/>
            <w:vAlign w:val="center"/>
          </w:tcPr>
          <w:p w14:paraId="2FD821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-0.035</w:t>
            </w:r>
          </w:p>
        </w:tc>
        <w:tc>
          <w:tcPr>
            <w:tcW w:w="646" w:type="pct"/>
            <w:tcBorders>
              <w:top w:val="nil"/>
              <w:left w:val="nil"/>
              <w:bottom w:val="nil"/>
              <w:right w:val="nil"/>
            </w:tcBorders>
            <w:shd w:val="clear" w:color="auto" w:fill="auto"/>
            <w:noWrap/>
            <w:vAlign w:val="center"/>
          </w:tcPr>
          <w:p w14:paraId="470DAD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-0.007</w:t>
            </w:r>
          </w:p>
        </w:tc>
        <w:tc>
          <w:tcPr>
            <w:tcW w:w="494" w:type="pct"/>
            <w:tcBorders>
              <w:top w:val="nil"/>
              <w:left w:val="nil"/>
              <w:bottom w:val="nil"/>
              <w:right w:val="nil"/>
            </w:tcBorders>
            <w:shd w:val="clear" w:color="auto" w:fill="auto"/>
            <w:noWrap/>
            <w:vAlign w:val="center"/>
          </w:tcPr>
          <w:p w14:paraId="5120EB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0.029</w:t>
            </w:r>
          </w:p>
        </w:tc>
        <w:tc>
          <w:tcPr>
            <w:tcW w:w="539" w:type="pct"/>
            <w:tcBorders>
              <w:top w:val="nil"/>
              <w:left w:val="nil"/>
              <w:bottom w:val="nil"/>
              <w:right w:val="nil"/>
            </w:tcBorders>
            <w:shd w:val="clear" w:color="auto" w:fill="auto"/>
            <w:noWrap/>
            <w:vAlign w:val="center"/>
          </w:tcPr>
          <w:p w14:paraId="105865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0.181</w:t>
            </w:r>
          </w:p>
        </w:tc>
        <w:tc>
          <w:tcPr>
            <w:tcW w:w="512" w:type="pct"/>
            <w:tcBorders>
              <w:top w:val="nil"/>
              <w:left w:val="nil"/>
              <w:bottom w:val="nil"/>
              <w:right w:val="nil"/>
            </w:tcBorders>
            <w:shd w:val="clear" w:color="auto" w:fill="auto"/>
            <w:noWrap/>
            <w:vAlign w:val="center"/>
          </w:tcPr>
          <w:p w14:paraId="59406C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13A4A24C">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2C8B98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s4</w:t>
            </w:r>
          </w:p>
        </w:tc>
        <w:tc>
          <w:tcPr>
            <w:tcW w:w="1030" w:type="pct"/>
            <w:tcBorders>
              <w:top w:val="nil"/>
              <w:left w:val="nil"/>
              <w:bottom w:val="nil"/>
              <w:right w:val="nil"/>
            </w:tcBorders>
            <w:shd w:val="clear" w:color="auto" w:fill="auto"/>
            <w:noWrap/>
            <w:vAlign w:val="center"/>
          </w:tcPr>
          <w:p w14:paraId="7D8072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胆固醇比值</w:t>
            </w:r>
          </w:p>
        </w:tc>
        <w:tc>
          <w:tcPr>
            <w:tcW w:w="601" w:type="pct"/>
            <w:tcBorders>
              <w:top w:val="nil"/>
              <w:left w:val="nil"/>
              <w:bottom w:val="nil"/>
              <w:right w:val="nil"/>
            </w:tcBorders>
            <w:shd w:val="clear" w:color="auto" w:fill="auto"/>
            <w:noWrap/>
            <w:vAlign w:val="center"/>
          </w:tcPr>
          <w:p w14:paraId="624F633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-0.076</w:t>
            </w:r>
          </w:p>
        </w:tc>
        <w:tc>
          <w:tcPr>
            <w:tcW w:w="602" w:type="pct"/>
            <w:tcBorders>
              <w:top w:val="nil"/>
              <w:left w:val="nil"/>
              <w:bottom w:val="nil"/>
              <w:right w:val="nil"/>
            </w:tcBorders>
            <w:shd w:val="clear" w:color="auto" w:fill="auto"/>
            <w:noWrap/>
            <w:vAlign w:val="center"/>
          </w:tcPr>
          <w:p w14:paraId="0F611F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-0.039</w:t>
            </w:r>
          </w:p>
        </w:tc>
        <w:tc>
          <w:tcPr>
            <w:tcW w:w="646" w:type="pct"/>
            <w:tcBorders>
              <w:top w:val="nil"/>
              <w:left w:val="nil"/>
              <w:bottom w:val="nil"/>
              <w:right w:val="nil"/>
            </w:tcBorders>
            <w:shd w:val="clear" w:color="auto" w:fill="auto"/>
            <w:noWrap/>
            <w:vAlign w:val="center"/>
          </w:tcPr>
          <w:p w14:paraId="63EA97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-0.003</w:t>
            </w:r>
          </w:p>
        </w:tc>
        <w:tc>
          <w:tcPr>
            <w:tcW w:w="494" w:type="pct"/>
            <w:tcBorders>
              <w:top w:val="nil"/>
              <w:left w:val="nil"/>
              <w:bottom w:val="nil"/>
              <w:right w:val="nil"/>
            </w:tcBorders>
            <w:shd w:val="clear" w:color="auto" w:fill="auto"/>
            <w:noWrap/>
            <w:vAlign w:val="center"/>
          </w:tcPr>
          <w:p w14:paraId="32AC86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0.034</w:t>
            </w:r>
          </w:p>
        </w:tc>
        <w:tc>
          <w:tcPr>
            <w:tcW w:w="539" w:type="pct"/>
            <w:tcBorders>
              <w:top w:val="nil"/>
              <w:left w:val="nil"/>
              <w:bottom w:val="nil"/>
              <w:right w:val="nil"/>
            </w:tcBorders>
            <w:shd w:val="clear" w:color="auto" w:fill="auto"/>
            <w:noWrap/>
            <w:vAlign w:val="center"/>
          </w:tcPr>
          <w:p w14:paraId="7FA748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0.185</w:t>
            </w:r>
          </w:p>
        </w:tc>
        <w:tc>
          <w:tcPr>
            <w:tcW w:w="512" w:type="pct"/>
            <w:tcBorders>
              <w:top w:val="nil"/>
              <w:left w:val="nil"/>
              <w:bottom w:val="nil"/>
              <w:right w:val="nil"/>
            </w:tcBorders>
            <w:shd w:val="clear" w:color="auto" w:fill="auto"/>
            <w:noWrap/>
            <w:vAlign w:val="center"/>
          </w:tcPr>
          <w:p w14:paraId="0B7974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615995CB">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22CF2C5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s5</w:t>
            </w:r>
          </w:p>
        </w:tc>
        <w:tc>
          <w:tcPr>
            <w:tcW w:w="1030" w:type="pct"/>
            <w:tcBorders>
              <w:top w:val="nil"/>
              <w:left w:val="nil"/>
              <w:bottom w:val="nil"/>
              <w:right w:val="nil"/>
            </w:tcBorders>
            <w:shd w:val="clear" w:color="auto" w:fill="auto"/>
            <w:noWrap/>
            <w:vAlign w:val="center"/>
          </w:tcPr>
          <w:p w14:paraId="2C829A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血清甘油三酯</w:t>
            </w:r>
          </w:p>
        </w:tc>
        <w:tc>
          <w:tcPr>
            <w:tcW w:w="601" w:type="pct"/>
            <w:tcBorders>
              <w:top w:val="nil"/>
              <w:left w:val="nil"/>
              <w:bottom w:val="nil"/>
              <w:right w:val="nil"/>
            </w:tcBorders>
            <w:shd w:val="clear" w:color="auto" w:fill="auto"/>
            <w:noWrap/>
            <w:vAlign w:val="center"/>
          </w:tcPr>
          <w:p w14:paraId="10136B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-0.126</w:t>
            </w:r>
          </w:p>
        </w:tc>
        <w:tc>
          <w:tcPr>
            <w:tcW w:w="602" w:type="pct"/>
            <w:tcBorders>
              <w:top w:val="nil"/>
              <w:left w:val="nil"/>
              <w:bottom w:val="nil"/>
              <w:right w:val="nil"/>
            </w:tcBorders>
            <w:shd w:val="clear" w:color="auto" w:fill="auto"/>
            <w:noWrap/>
            <w:vAlign w:val="center"/>
          </w:tcPr>
          <w:p w14:paraId="1DB886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-0.033</w:t>
            </w:r>
          </w:p>
        </w:tc>
        <w:tc>
          <w:tcPr>
            <w:tcW w:w="646" w:type="pct"/>
            <w:tcBorders>
              <w:top w:val="nil"/>
              <w:left w:val="nil"/>
              <w:bottom w:val="nil"/>
              <w:right w:val="nil"/>
            </w:tcBorders>
            <w:shd w:val="clear" w:color="auto" w:fill="auto"/>
            <w:noWrap/>
            <w:vAlign w:val="center"/>
          </w:tcPr>
          <w:p w14:paraId="24A4BF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-0.002</w:t>
            </w:r>
          </w:p>
        </w:tc>
        <w:tc>
          <w:tcPr>
            <w:tcW w:w="494" w:type="pct"/>
            <w:tcBorders>
              <w:top w:val="nil"/>
              <w:left w:val="nil"/>
              <w:bottom w:val="nil"/>
              <w:right w:val="nil"/>
            </w:tcBorders>
            <w:shd w:val="clear" w:color="auto" w:fill="auto"/>
            <w:noWrap/>
            <w:vAlign w:val="center"/>
          </w:tcPr>
          <w:p w14:paraId="207E4D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0.032</w:t>
            </w:r>
          </w:p>
        </w:tc>
        <w:tc>
          <w:tcPr>
            <w:tcW w:w="539" w:type="pct"/>
            <w:tcBorders>
              <w:top w:val="nil"/>
              <w:left w:val="nil"/>
              <w:bottom w:val="nil"/>
              <w:right w:val="nil"/>
            </w:tcBorders>
            <w:shd w:val="clear" w:color="auto" w:fill="auto"/>
            <w:noWrap/>
            <w:vAlign w:val="center"/>
          </w:tcPr>
          <w:p w14:paraId="068A3E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0.134</w:t>
            </w:r>
          </w:p>
        </w:tc>
        <w:tc>
          <w:tcPr>
            <w:tcW w:w="512" w:type="pct"/>
            <w:tcBorders>
              <w:top w:val="nil"/>
              <w:left w:val="nil"/>
              <w:bottom w:val="nil"/>
              <w:right w:val="nil"/>
            </w:tcBorders>
            <w:shd w:val="clear" w:color="auto" w:fill="auto"/>
            <w:noWrap/>
            <w:vAlign w:val="center"/>
          </w:tcPr>
          <w:p w14:paraId="410FDCC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r w14:paraId="0DE4B113">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nil"/>
              <w:right w:val="nil"/>
            </w:tcBorders>
            <w:shd w:val="clear" w:color="auto" w:fill="auto"/>
            <w:noWrap/>
            <w:vAlign w:val="center"/>
          </w:tcPr>
          <w:p w14:paraId="752A84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s6</w:t>
            </w:r>
          </w:p>
        </w:tc>
        <w:tc>
          <w:tcPr>
            <w:tcW w:w="1030" w:type="pct"/>
            <w:tcBorders>
              <w:top w:val="nil"/>
              <w:left w:val="nil"/>
              <w:bottom w:val="nil"/>
              <w:right w:val="nil"/>
            </w:tcBorders>
            <w:shd w:val="clear" w:color="auto" w:fill="auto"/>
            <w:noWrap/>
            <w:vAlign w:val="center"/>
          </w:tcPr>
          <w:p w14:paraId="720A29B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血糖水平</w:t>
            </w:r>
          </w:p>
        </w:tc>
        <w:tc>
          <w:tcPr>
            <w:tcW w:w="601" w:type="pct"/>
            <w:tcBorders>
              <w:top w:val="nil"/>
              <w:left w:val="nil"/>
              <w:bottom w:val="nil"/>
              <w:right w:val="nil"/>
            </w:tcBorders>
            <w:shd w:val="clear" w:color="auto" w:fill="auto"/>
            <w:noWrap/>
            <w:vAlign w:val="center"/>
          </w:tcPr>
          <w:p w14:paraId="19027B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-0.138</w:t>
            </w:r>
          </w:p>
        </w:tc>
        <w:tc>
          <w:tcPr>
            <w:tcW w:w="602" w:type="pct"/>
            <w:tcBorders>
              <w:top w:val="nil"/>
              <w:left w:val="nil"/>
              <w:bottom w:val="nil"/>
              <w:right w:val="nil"/>
            </w:tcBorders>
            <w:shd w:val="clear" w:color="auto" w:fill="auto"/>
            <w:noWrap/>
            <w:vAlign w:val="center"/>
          </w:tcPr>
          <w:p w14:paraId="467021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-0.033</w:t>
            </w:r>
          </w:p>
        </w:tc>
        <w:tc>
          <w:tcPr>
            <w:tcW w:w="646" w:type="pct"/>
            <w:tcBorders>
              <w:top w:val="nil"/>
              <w:left w:val="nil"/>
              <w:bottom w:val="nil"/>
              <w:right w:val="nil"/>
            </w:tcBorders>
            <w:shd w:val="clear" w:color="auto" w:fill="auto"/>
            <w:noWrap/>
            <w:vAlign w:val="center"/>
          </w:tcPr>
          <w:p w14:paraId="6226378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-0.001</w:t>
            </w:r>
          </w:p>
        </w:tc>
        <w:tc>
          <w:tcPr>
            <w:tcW w:w="494" w:type="pct"/>
            <w:tcBorders>
              <w:top w:val="nil"/>
              <w:left w:val="nil"/>
              <w:bottom w:val="nil"/>
              <w:right w:val="nil"/>
            </w:tcBorders>
            <w:shd w:val="clear" w:color="auto" w:fill="auto"/>
            <w:noWrap/>
            <w:vAlign w:val="center"/>
          </w:tcPr>
          <w:p w14:paraId="7A458E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0.028</w:t>
            </w:r>
          </w:p>
        </w:tc>
        <w:tc>
          <w:tcPr>
            <w:tcW w:w="539" w:type="pct"/>
            <w:tcBorders>
              <w:top w:val="nil"/>
              <w:left w:val="nil"/>
              <w:bottom w:val="nil"/>
              <w:right w:val="nil"/>
            </w:tcBorders>
            <w:shd w:val="clear" w:color="auto" w:fill="auto"/>
            <w:noWrap/>
            <w:vAlign w:val="center"/>
          </w:tcPr>
          <w:p w14:paraId="36EBE5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0.136</w:t>
            </w:r>
          </w:p>
        </w:tc>
        <w:tc>
          <w:tcPr>
            <w:tcW w:w="512" w:type="pct"/>
            <w:tcBorders>
              <w:top w:val="nil"/>
              <w:left w:val="nil"/>
              <w:bottom w:val="nil"/>
              <w:right w:val="nil"/>
            </w:tcBorders>
            <w:shd w:val="clear" w:color="auto" w:fill="auto"/>
            <w:noWrap/>
            <w:vAlign w:val="center"/>
          </w:tcPr>
          <w:p w14:paraId="61360E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b/>
                <w:bCs/>
                <w:sz w:val="22"/>
                <w:szCs w:val="22"/>
                <w:lang w:val="en-US"/>
              </w:rPr>
            </w:pPr>
            <w:r>
              <w:rPr>
                <w:rFonts w:hint="default" w:ascii="Times New Roman" w:hAnsi="Times New Roman" w:eastAsia="宋体" w:cs="Times New Roman"/>
                <w:b/>
                <w:bCs/>
                <w:color w:val="000000"/>
                <w:kern w:val="0"/>
                <w:sz w:val="22"/>
                <w:szCs w:val="22"/>
                <w:lang w:val="en-US" w:eastAsia="zh-CN" w:bidi="ar"/>
              </w:rPr>
              <w:t>accept</w:t>
            </w:r>
          </w:p>
        </w:tc>
      </w:tr>
      <w:tr w14:paraId="74FEE396">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80" w:hRule="atLeast"/>
        </w:trPr>
        <w:tc>
          <w:tcPr>
            <w:tcW w:w="571" w:type="pct"/>
            <w:tcBorders>
              <w:top w:val="nil"/>
              <w:left w:val="nil"/>
              <w:bottom w:val="single" w:color="auto" w:sz="12" w:space="0"/>
              <w:right w:val="nil"/>
            </w:tcBorders>
            <w:shd w:val="clear" w:color="auto" w:fill="auto"/>
            <w:noWrap/>
            <w:vAlign w:val="center"/>
          </w:tcPr>
          <w:p w14:paraId="4E0636E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target</w:t>
            </w:r>
          </w:p>
        </w:tc>
        <w:tc>
          <w:tcPr>
            <w:tcW w:w="1030" w:type="pct"/>
            <w:tcBorders>
              <w:top w:val="nil"/>
              <w:left w:val="nil"/>
              <w:bottom w:val="single" w:color="auto" w:sz="12" w:space="0"/>
              <w:right w:val="nil"/>
            </w:tcBorders>
            <w:shd w:val="clear" w:color="auto" w:fill="auto"/>
            <w:noWrap/>
            <w:vAlign w:val="center"/>
          </w:tcPr>
          <w:p w14:paraId="23665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eastAsia="宋体" w:cs="Times New Roman"/>
                <w:color w:val="000000"/>
                <w:kern w:val="0"/>
                <w:sz w:val="22"/>
                <w:szCs w:val="22"/>
                <w:lang w:val="en-US" w:eastAsia="zh-CN" w:bidi="ar"/>
              </w:rPr>
            </w:pPr>
            <w:r>
              <w:rPr>
                <w:rFonts w:hint="eastAsia" w:cs="Times New Roman"/>
                <w:color w:val="000000"/>
                <w:kern w:val="0"/>
                <w:sz w:val="22"/>
                <w:szCs w:val="22"/>
                <w:lang w:val="en-US" w:eastAsia="zh-CN" w:bidi="ar"/>
              </w:rPr>
              <w:t>一年后疾病进展</w:t>
            </w:r>
          </w:p>
        </w:tc>
        <w:tc>
          <w:tcPr>
            <w:tcW w:w="601" w:type="pct"/>
            <w:tcBorders>
              <w:top w:val="nil"/>
              <w:left w:val="nil"/>
              <w:bottom w:val="single" w:color="auto" w:sz="12" w:space="0"/>
              <w:right w:val="nil"/>
            </w:tcBorders>
            <w:shd w:val="clear" w:color="auto" w:fill="auto"/>
            <w:noWrap/>
            <w:vAlign w:val="center"/>
          </w:tcPr>
          <w:p w14:paraId="36AB33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25.00</w:t>
            </w:r>
          </w:p>
        </w:tc>
        <w:tc>
          <w:tcPr>
            <w:tcW w:w="602" w:type="pct"/>
            <w:tcBorders>
              <w:top w:val="nil"/>
              <w:left w:val="nil"/>
              <w:bottom w:val="single" w:color="auto" w:sz="12" w:space="0"/>
              <w:right w:val="nil"/>
            </w:tcBorders>
            <w:shd w:val="clear" w:color="auto" w:fill="auto"/>
            <w:noWrap/>
            <w:vAlign w:val="center"/>
          </w:tcPr>
          <w:p w14:paraId="5EA52C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87.00</w:t>
            </w:r>
          </w:p>
        </w:tc>
        <w:tc>
          <w:tcPr>
            <w:tcW w:w="646" w:type="pct"/>
            <w:tcBorders>
              <w:top w:val="nil"/>
              <w:left w:val="nil"/>
              <w:bottom w:val="single" w:color="auto" w:sz="12" w:space="0"/>
              <w:right w:val="nil"/>
            </w:tcBorders>
            <w:shd w:val="clear" w:color="auto" w:fill="auto"/>
            <w:noWrap/>
            <w:vAlign w:val="center"/>
          </w:tcPr>
          <w:p w14:paraId="1E3B2A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140.50</w:t>
            </w:r>
          </w:p>
        </w:tc>
        <w:tc>
          <w:tcPr>
            <w:tcW w:w="494" w:type="pct"/>
            <w:tcBorders>
              <w:top w:val="nil"/>
              <w:left w:val="nil"/>
              <w:bottom w:val="single" w:color="auto" w:sz="12" w:space="0"/>
              <w:right w:val="nil"/>
            </w:tcBorders>
            <w:shd w:val="clear" w:color="auto" w:fill="auto"/>
            <w:noWrap/>
            <w:vAlign w:val="center"/>
          </w:tcPr>
          <w:p w14:paraId="595238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211.50</w:t>
            </w:r>
          </w:p>
        </w:tc>
        <w:tc>
          <w:tcPr>
            <w:tcW w:w="539" w:type="pct"/>
            <w:tcBorders>
              <w:top w:val="nil"/>
              <w:left w:val="nil"/>
              <w:bottom w:val="single" w:color="auto" w:sz="12" w:space="0"/>
              <w:right w:val="nil"/>
            </w:tcBorders>
            <w:shd w:val="clear" w:color="auto" w:fill="auto"/>
            <w:noWrap/>
            <w:vAlign w:val="center"/>
          </w:tcPr>
          <w:p w14:paraId="642C65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346.00</w:t>
            </w:r>
          </w:p>
        </w:tc>
        <w:tc>
          <w:tcPr>
            <w:tcW w:w="512" w:type="pct"/>
            <w:tcBorders>
              <w:top w:val="nil"/>
              <w:left w:val="nil"/>
              <w:bottom w:val="single" w:color="auto" w:sz="12" w:space="0"/>
              <w:right w:val="nil"/>
            </w:tcBorders>
            <w:shd w:val="clear" w:color="auto" w:fill="auto"/>
            <w:noWrap/>
            <w:vAlign w:val="center"/>
          </w:tcPr>
          <w:p w14:paraId="5AAB91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2"/>
                <w:szCs w:val="22"/>
                <w:lang w:val="en-US"/>
              </w:rPr>
            </w:pPr>
            <w:r>
              <w:rPr>
                <w:rFonts w:hint="default" w:ascii="Times New Roman" w:hAnsi="Times New Roman" w:eastAsia="宋体" w:cs="Times New Roman"/>
                <w:color w:val="000000"/>
                <w:kern w:val="0"/>
                <w:sz w:val="22"/>
                <w:szCs w:val="22"/>
                <w:lang w:val="en-US" w:eastAsia="zh-CN" w:bidi="ar"/>
              </w:rPr>
              <w:t>refuse</w:t>
            </w:r>
          </w:p>
        </w:tc>
      </w:tr>
    </w:tbl>
    <w:p w14:paraId="530CC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both"/>
        <w:textAlignment w:val="auto"/>
        <w:rPr>
          <w:rFonts w:hint="default" w:ascii="Times New Roman" w:hAnsi="Times New Roman" w:cs="Times New Roman"/>
          <w:lang w:val="en-US"/>
        </w:rPr>
      </w:pPr>
      <w:r>
        <w:rPr>
          <w:rFonts w:hint="eastAsia" w:ascii="Times New Roman" w:hAnsi="Times New Roman" w:eastAsia="宋体" w:cs="Times New Roman"/>
          <w:color w:val="000000"/>
          <w:kern w:val="0"/>
          <w:sz w:val="21"/>
          <w:szCs w:val="21"/>
          <w:lang w:val="en-US" w:eastAsia="zh-CN" w:bidi="ar"/>
        </w:rPr>
        <w:t>注：</w:t>
      </w:r>
      <w:r>
        <w:rPr>
          <w:rFonts w:hint="default" w:ascii="Times New Roman" w:hAnsi="Times New Roman" w:eastAsia="宋体" w:cs="Times New Roman"/>
          <w:color w:val="000000"/>
          <w:kern w:val="0"/>
          <w:sz w:val="21"/>
          <w:szCs w:val="21"/>
          <w:lang w:val="en-US" w:eastAsia="zh-CN" w:bidi="ar"/>
        </w:rPr>
        <w:t>refuse:p-value&lt;0.01 ; accept:p-value&gt;0.05</w:t>
      </w:r>
    </w:p>
    <w:p w14:paraId="03355AE3">
      <w:pPr>
        <w:spacing w:before="156" w:beforeLines="50"/>
        <w:ind w:firstLine="480" w:firstLineChars="200"/>
        <w:rPr>
          <w:rFonts w:hint="default" w:asciiTheme="minorAscii" w:hAnsiTheme="minorAscii" w:cstheme="minorHAnsi"/>
          <w:szCs w:val="24"/>
        </w:rPr>
      </w:pPr>
      <w:r>
        <w:rPr>
          <w:rFonts w:hint="default" w:asciiTheme="minorAscii" w:hAnsiTheme="minorAscii"/>
        </w:rPr>
        <w:t>表1结果所示：</w:t>
      </w:r>
      <w:r>
        <w:rPr>
          <w:rFonts w:hint="default" w:eastAsia="宋体" w:cs="宋体" w:asciiTheme="minorAscii" w:hAnsiTheme="minorAscii"/>
          <w:sz w:val="24"/>
          <w:szCs w:val="24"/>
        </w:rPr>
        <w:t>目标变量（Target）作为一年后疾病进展的定量指标，数值范围跨度较大（25-346），中位数为140.5，体现了患者间病程发展的显著异质性。</w:t>
      </w:r>
      <w:r>
        <w:rPr>
          <w:rFonts w:hint="default" w:cs="宋体" w:asciiTheme="minorAscii" w:hAnsiTheme="minorAscii"/>
          <w:sz w:val="24"/>
          <w:szCs w:val="24"/>
          <w:lang w:val="en-US" w:eastAsia="zh-CN"/>
        </w:rPr>
        <w:t>J</w:t>
      </w:r>
      <w:r>
        <w:rPr>
          <w:rFonts w:hint="default" w:eastAsia="宋体" w:cs="宋体" w:asciiTheme="minorAscii" w:hAnsiTheme="minorAscii"/>
          <w:sz w:val="24"/>
          <w:szCs w:val="24"/>
        </w:rPr>
        <w:t>B检验结果表明，除S6指标接受正态分布假设外（p&gt;0.05），其余所有变量均显著偏离正态分布（p&lt;0.01）。特别是Sex表现为非正态是由于其二值属性所致。这一普遍的非正态性特征提示我们，在后续的回归分析中，应重点关注模型残差的正态性，而非原始变量的分布形态。</w:t>
      </w:r>
    </w:p>
    <w:p w14:paraId="7996F7F0">
      <w:pPr>
        <w:pStyle w:val="3"/>
        <w:numPr>
          <w:ilvl w:val="1"/>
          <w:numId w:val="1"/>
        </w:numPr>
        <w:rPr>
          <w:rFonts w:hint="default"/>
          <w:lang w:val="en-US"/>
        </w:rPr>
      </w:pPr>
      <w:bookmarkStart w:id="3" w:name="_Toc12554"/>
      <w:r>
        <w:rPr>
          <w:rFonts w:hint="eastAsia"/>
          <w:lang w:val="en-US" w:eastAsia="zh-CN"/>
        </w:rPr>
        <w:t>相关性分析</w:t>
      </w:r>
      <w:bookmarkEnd w:id="3"/>
    </w:p>
    <w:p w14:paraId="0DB18FA7">
      <w:pPr>
        <w:keepNext w:val="0"/>
        <w:keepLines w:val="0"/>
        <w:pageBreakBefore w:val="0"/>
        <w:widowControl w:val="0"/>
        <w:kinsoku/>
        <w:wordWrap/>
        <w:overflowPunct/>
        <w:topLinePunct w:val="0"/>
        <w:autoSpaceDE/>
        <w:autoSpaceDN/>
        <w:bidi w:val="0"/>
        <w:adjustRightInd/>
        <w:snapToGrid/>
        <w:ind w:firstLine="480" w:firstLineChars="200"/>
        <w:textAlignment w:val="auto"/>
      </w:pPr>
      <w:r>
        <w:t>在进行多元回归建模前</w:t>
      </w:r>
      <w:r>
        <w:rPr>
          <w:rFonts w:hint="eastAsia"/>
          <w:lang w:eastAsia="zh-CN"/>
        </w:rPr>
        <w:t>，</w:t>
      </w:r>
      <w:r>
        <w:rPr>
          <w:rFonts w:hint="eastAsia"/>
          <w:lang w:val="en-US" w:eastAsia="zh-CN"/>
        </w:rPr>
        <w:t>本文</w:t>
      </w:r>
      <w:r>
        <w:t>初步探究各基线特征与疾病进展之间的线性关联强度，并识别自变量矩阵内部潜在的多重共线性结构，本</w:t>
      </w:r>
      <w:r>
        <w:rPr>
          <w:rFonts w:hint="eastAsia"/>
          <w:lang w:val="en-US" w:eastAsia="zh-CN"/>
        </w:rPr>
        <w:t>文</w:t>
      </w:r>
      <w:r>
        <w:t>计算了 Pearson 相关系数矩阵并绘制了热力图</w:t>
      </w:r>
      <w:r>
        <w:rPr>
          <w:rFonts w:hint="eastAsia"/>
          <w:lang w:eastAsia="zh-CN"/>
        </w:rPr>
        <w:t>，</w:t>
      </w:r>
      <w:r>
        <w:rPr>
          <w:rFonts w:hint="eastAsia"/>
          <w:lang w:val="en-US" w:eastAsia="zh-CN"/>
        </w:rPr>
        <w:t>如图1所示。</w:t>
      </w:r>
      <w:r>
        <w:t>该分析不仅有助于直观筛选潜在的关键预测因子，还能为后续的方差膨胀因子诊断提供直观的统计学依据。</w:t>
      </w:r>
    </w:p>
    <w:p w14:paraId="149D94B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eastAsia="宋体"/>
          <w:lang w:val="en-US" w:eastAsia="zh-CN"/>
        </w:rPr>
        <w:drawing>
          <wp:inline distT="0" distB="0" distL="114300" distR="114300">
            <wp:extent cx="5273040" cy="4463415"/>
            <wp:effectExtent l="0" t="0" r="10160" b="6985"/>
            <wp:docPr id="5" name="图片 5" descr="correlation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rrelation_heatmap"/>
                    <pic:cNvPicPr>
                      <a:picLocks noChangeAspect="1"/>
                    </pic:cNvPicPr>
                  </pic:nvPicPr>
                  <pic:blipFill>
                    <a:blip r:embed="rId13"/>
                    <a:stretch>
                      <a:fillRect/>
                    </a:stretch>
                  </pic:blipFill>
                  <pic:spPr>
                    <a:xfrm>
                      <a:off x="0" y="0"/>
                      <a:ext cx="5273040" cy="4463415"/>
                    </a:xfrm>
                    <a:prstGeom prst="rect">
                      <a:avLst/>
                    </a:prstGeom>
                  </pic:spPr>
                </pic:pic>
              </a:graphicData>
            </a:graphic>
          </wp:inline>
        </w:drawing>
      </w:r>
    </w:p>
    <w:p w14:paraId="31F63E8F">
      <w:pPr>
        <w:keepNext w:val="0"/>
        <w:keepLines w:val="0"/>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eastAsia"/>
          <w:b/>
          <w:bCs/>
          <w:sz w:val="21"/>
          <w:szCs w:val="21"/>
          <w:lang w:val="en-US" w:eastAsia="zh-CN"/>
        </w:rPr>
      </w:pPr>
      <w:r>
        <w:rPr>
          <w:rFonts w:hint="eastAsia"/>
          <w:b/>
          <w:bCs/>
          <w:sz w:val="21"/>
          <w:szCs w:val="21"/>
          <w:lang w:val="en-US" w:eastAsia="zh-CN"/>
        </w:rPr>
        <w:t>图1：变量相关热力图</w:t>
      </w:r>
    </w:p>
    <w:p w14:paraId="0953666C">
      <w:pPr>
        <w:keepNext w:val="0"/>
        <w:keepLines w:val="0"/>
        <w:pageBreakBefore w:val="0"/>
        <w:widowControl w:val="0"/>
        <w:kinsoku/>
        <w:wordWrap/>
        <w:overflowPunct/>
        <w:topLinePunct w:val="0"/>
        <w:autoSpaceDE/>
        <w:autoSpaceDN/>
        <w:bidi w:val="0"/>
        <w:adjustRightInd/>
        <w:snapToGrid/>
        <w:spacing w:before="157" w:beforeLines="50"/>
        <w:ind w:firstLine="420" w:firstLineChars="0"/>
        <w:textAlignment w:val="auto"/>
        <w:rPr>
          <w:rFonts w:hint="default"/>
          <w:lang w:val="en-US" w:eastAsia="zh-CN"/>
        </w:rPr>
      </w:pPr>
      <w:r>
        <w:rPr>
          <w:rFonts w:hint="eastAsia"/>
          <w:lang w:val="en-US" w:eastAsia="zh-CN"/>
        </w:rPr>
        <w:t>图1结果显示：在单变量与因变量的关系上，身体质量指数 (BMI) 与血清甘油三酯 (S5) 表现出与疾病进展（Target）最强的正相关性，Pearson相关系数分别为 0.59 和 0.57。这初步印证了肥胖与脂代谢异常是病程恶化的主要驱动因素。部分自变量之间的相关性级高，如s1和s2之间具有0.89的强正相关性，证明这两个变量具有高度冗余的同步信息，s3和s4之间存在着-0.74的强负相关性，总体来看整个相关热力图，变量之间的相关性较强，推测存在着较为严重的多重共线性，在后续的实证分析中会利用方差膨胀因子来定量分析并配合变量选择得到最终模型。</w:t>
      </w:r>
    </w:p>
    <w:p w14:paraId="00F2AD96">
      <w:pPr>
        <w:pStyle w:val="3"/>
        <w:numPr>
          <w:ilvl w:val="1"/>
          <w:numId w:val="1"/>
        </w:numPr>
        <w:rPr>
          <w:rFonts w:hint="default"/>
          <w:lang w:val="en-US"/>
        </w:rPr>
      </w:pPr>
      <w:bookmarkStart w:id="4" w:name="_Toc4517"/>
      <w:r>
        <w:rPr>
          <w:rFonts w:hint="eastAsia"/>
          <w:lang w:val="en-US" w:eastAsia="zh-CN"/>
        </w:rPr>
        <w:t>回归建模方法</w:t>
      </w:r>
      <w:bookmarkEnd w:id="4"/>
    </w:p>
    <w:p w14:paraId="0262ADED">
      <w:pPr>
        <w:pStyle w:val="4"/>
        <w:bidi w:val="0"/>
        <w:rPr>
          <w:rFonts w:hint="eastAsia"/>
          <w:lang w:val="en-US" w:eastAsia="zh-CN"/>
        </w:rPr>
      </w:pPr>
      <w:bookmarkStart w:id="5" w:name="_Toc14285"/>
      <w:r>
        <w:rPr>
          <w:rFonts w:hint="eastAsia"/>
          <w:lang w:val="en-US" w:eastAsia="zh-CN"/>
        </w:rPr>
        <w:t>2.3.1 基础模型构建</w:t>
      </w:r>
      <w:bookmarkEnd w:id="5"/>
    </w:p>
    <w:p w14:paraId="55848A3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rPr>
      </w:pPr>
      <w:r>
        <w:rPr>
          <w:rFonts w:hint="eastAsia"/>
          <w:lang w:val="en-US" w:eastAsia="zh-CN"/>
        </w:rPr>
        <w:t>构建</w:t>
      </w:r>
      <w:r>
        <w:t>包含所有十个自变量的全变量OLS回归模型</w:t>
      </w:r>
      <w:r>
        <w:rPr>
          <w:rFonts w:hint="eastAsia"/>
          <w:lang w:eastAsia="zh-CN"/>
        </w:rPr>
        <w:t>，</w:t>
      </w:r>
      <w:r>
        <w:rPr>
          <w:rFonts w:hint="eastAsia"/>
          <w:lang w:val="en-US" w:eastAsia="zh-CN"/>
        </w:rPr>
        <w:t>将其</w:t>
      </w:r>
      <w:r>
        <w:t>作为基准。在此阶段，重点关注多重共线性诊断。通过计算方差膨胀因子（VIF），量化自变量之间的线性相关程度，以识别可能导致估计方差膨胀的冗余变量。</w:t>
      </w:r>
    </w:p>
    <w:p w14:paraId="571E9BD6">
      <w:pPr>
        <w:rPr>
          <w:rFonts w:hint="default" w:hAnsi="Cambria Math" w:eastAsia="宋体" w:cs="Bahnschrift SemiLight SemiCondensed"/>
          <w:i w:val="0"/>
          <w:sz w:val="24"/>
        </w:rPr>
      </w:pPr>
      <m:oMathPara>
        <m:oMath>
          <m:r>
            <m:rPr/>
            <w:rPr>
              <w:rFonts w:hint="default" w:ascii="Cambria Math" w:hAnsi="Cambria Math" w:cs="Bahnschrift SemiLight SemiCondensed"/>
              <w:sz w:val="24"/>
              <w:lang w:val="en-US" w:eastAsia="zh-CN"/>
            </w:rPr>
            <m:t>Y</m:t>
          </m:r>
          <m:r>
            <m:rPr/>
            <w:rPr>
              <w:rFonts w:hint="default" w:ascii="Cambria Math" w:hAnsi="Cambria Math" w:eastAsia="宋体" w:cs="Bahnschrift SemiLight SemiCondensed"/>
              <w:sz w:val="24"/>
            </w:rPr>
            <m:t>=</m:t>
          </m:r>
          <m:sSub>
            <m:sSubPr>
              <m:ctrlPr>
                <w:rPr>
                  <w:rFonts w:hint="default" w:ascii="Cambria Math" w:hAnsi="Cambria Math" w:eastAsia="宋体" w:cs="Bahnschrift SemiLight SemiCondensed"/>
                  <w:sz w:val="24"/>
                </w:rPr>
              </m:ctrlPr>
            </m:sSubPr>
            <m:e>
              <m:r>
                <m:rPr/>
                <w:rPr>
                  <w:rFonts w:hint="default" w:ascii="Cambria Math" w:hAnsi="Cambria Math" w:eastAsia="宋体" w:cs="Bahnschrift SemiLight SemiCondensed"/>
                  <w:sz w:val="24"/>
                </w:rPr>
                <m:t>β</m:t>
              </m:r>
              <m:ctrlPr>
                <w:rPr>
                  <w:rFonts w:hint="default" w:ascii="Cambria Math" w:hAnsi="Cambria Math" w:eastAsia="宋体" w:cs="Bahnschrift SemiLight SemiCondensed"/>
                  <w:sz w:val="24"/>
                </w:rPr>
              </m:ctrlPr>
            </m:e>
            <m:sub>
              <m:r>
                <m:rPr/>
                <w:rPr>
                  <w:rFonts w:hint="default" w:ascii="Cambria Math" w:hAnsi="Cambria Math" w:eastAsia="宋体" w:cs="Bahnschrift SemiLight SemiCondensed"/>
                  <w:sz w:val="24"/>
                </w:rPr>
                <m:t>0</m:t>
              </m:r>
              <m:ctrlPr>
                <w:rPr>
                  <w:rFonts w:hint="default" w:ascii="Cambria Math" w:hAnsi="Cambria Math" w:eastAsia="宋体" w:cs="Bahnschrift SemiLight SemiCondensed"/>
                  <w:sz w:val="24"/>
                </w:rPr>
              </m:ctrlPr>
            </m:sub>
          </m:sSub>
          <m:r>
            <m:rPr/>
            <w:rPr>
              <w:rFonts w:hint="default" w:ascii="Cambria Math" w:hAnsi="Cambria Math" w:eastAsia="宋体" w:cs="Bahnschrift SemiLight SemiCondensed"/>
              <w:sz w:val="24"/>
            </w:rPr>
            <m:t>+</m:t>
          </m:r>
          <m:sSub>
            <m:sSubPr>
              <m:ctrlPr>
                <w:rPr>
                  <w:rFonts w:hint="default" w:ascii="Cambria Math" w:hAnsi="Cambria Math" w:eastAsia="宋体" w:cs="Bahnschrift SemiLight SemiCondensed"/>
                  <w:sz w:val="24"/>
                </w:rPr>
              </m:ctrlPr>
            </m:sSubPr>
            <m:e>
              <m:r>
                <m:rPr/>
                <w:rPr>
                  <w:rFonts w:hint="default" w:ascii="Cambria Math" w:hAnsi="Cambria Math" w:eastAsia="宋体" w:cs="Bahnschrift SemiLight SemiCondensed"/>
                  <w:sz w:val="24"/>
                </w:rPr>
                <m:t>β</m:t>
              </m:r>
              <m:ctrlPr>
                <w:rPr>
                  <w:rFonts w:hint="default" w:ascii="Cambria Math" w:hAnsi="Cambria Math" w:eastAsia="宋体" w:cs="Bahnschrift SemiLight SemiCondensed"/>
                  <w:sz w:val="24"/>
                </w:rPr>
              </m:ctrlPr>
            </m:e>
            <m:sub>
              <m:r>
                <m:rPr/>
                <w:rPr>
                  <w:rFonts w:hint="default" w:ascii="Cambria Math" w:hAnsi="Cambria Math" w:eastAsia="宋体" w:cs="Bahnschrift SemiLight SemiCondensed"/>
                  <w:sz w:val="24"/>
                </w:rPr>
                <m:t>1</m:t>
              </m:r>
              <m:ctrlPr>
                <w:rPr>
                  <w:rFonts w:hint="default" w:ascii="Cambria Math" w:hAnsi="Cambria Math" w:eastAsia="宋体" w:cs="Bahnschrift SemiLight SemiCondensed"/>
                  <w:sz w:val="24"/>
                </w:rPr>
              </m:ctrlPr>
            </m:sub>
          </m:sSub>
          <m:sSub>
            <m:sSubPr>
              <m:ctrlPr>
                <w:rPr>
                  <w:rFonts w:hint="default" w:ascii="Cambria Math" w:hAnsi="Cambria Math" w:eastAsia="宋体" w:cs="Bahnschrift SemiLight SemiCondensed"/>
                  <w:sz w:val="24"/>
                </w:rPr>
              </m:ctrlPr>
            </m:sSubPr>
            <m:e>
              <m:r>
                <m:rPr/>
                <w:rPr>
                  <w:rFonts w:hint="default" w:ascii="Cambria Math" w:hAnsi="Cambria Math" w:eastAsia="宋体" w:cs="Bahnschrift SemiLight SemiCondensed"/>
                  <w:sz w:val="24"/>
                </w:rPr>
                <m:t>X</m:t>
              </m:r>
              <m:ctrlPr>
                <w:rPr>
                  <w:rFonts w:hint="default" w:ascii="Cambria Math" w:hAnsi="Cambria Math" w:eastAsia="宋体" w:cs="Bahnschrift SemiLight SemiCondensed"/>
                  <w:sz w:val="24"/>
                </w:rPr>
              </m:ctrlPr>
            </m:e>
            <m:sub>
              <m:r>
                <m:rPr/>
                <w:rPr>
                  <w:rFonts w:hint="default" w:ascii="Cambria Math" w:hAnsi="Cambria Math" w:eastAsia="宋体" w:cs="Bahnschrift SemiLight SemiCondensed"/>
                  <w:sz w:val="24"/>
                </w:rPr>
                <m:t>1</m:t>
              </m:r>
              <m:ctrlPr>
                <w:rPr>
                  <w:rFonts w:hint="default" w:ascii="Cambria Math" w:hAnsi="Cambria Math" w:eastAsia="宋体" w:cs="Bahnschrift SemiLight SemiCondensed"/>
                  <w:sz w:val="24"/>
                </w:rPr>
              </m:ctrlPr>
            </m:sub>
          </m:sSub>
          <m:r>
            <m:rPr/>
            <w:rPr>
              <w:rFonts w:hint="default" w:ascii="Cambria Math" w:hAnsi="Cambria Math" w:eastAsia="宋体" w:cs="Bahnschrift SemiLight SemiCondensed"/>
              <w:sz w:val="24"/>
            </w:rPr>
            <m:t>+⋯+</m:t>
          </m:r>
          <m:sSub>
            <m:sSubPr>
              <m:ctrlPr>
                <w:rPr>
                  <w:rFonts w:hint="default" w:ascii="Cambria Math" w:hAnsi="Cambria Math" w:eastAsia="宋体" w:cs="Bahnschrift SemiLight SemiCondensed"/>
                  <w:sz w:val="24"/>
                </w:rPr>
              </m:ctrlPr>
            </m:sSubPr>
            <m:e>
              <m:r>
                <m:rPr/>
                <w:rPr>
                  <w:rFonts w:hint="default" w:ascii="Cambria Math" w:hAnsi="Cambria Math" w:eastAsia="宋体" w:cs="Bahnschrift SemiLight SemiCondensed"/>
                  <w:sz w:val="24"/>
                </w:rPr>
                <m:t>β</m:t>
              </m:r>
              <m:ctrlPr>
                <w:rPr>
                  <w:rFonts w:hint="default" w:ascii="Cambria Math" w:hAnsi="Cambria Math" w:eastAsia="宋体" w:cs="Bahnschrift SemiLight SemiCondensed"/>
                  <w:sz w:val="24"/>
                </w:rPr>
              </m:ctrlPr>
            </m:e>
            <m:sub>
              <m:r>
                <m:rPr/>
                <w:rPr>
                  <w:rFonts w:hint="default" w:ascii="Cambria Math" w:hAnsi="Cambria Math" w:eastAsia="宋体" w:cs="Bahnschrift SemiLight SemiCondensed"/>
                  <w:sz w:val="24"/>
                </w:rPr>
                <m:t>10</m:t>
              </m:r>
              <m:ctrlPr>
                <w:rPr>
                  <w:rFonts w:hint="default" w:ascii="Cambria Math" w:hAnsi="Cambria Math" w:eastAsia="宋体" w:cs="Bahnschrift SemiLight SemiCondensed"/>
                  <w:sz w:val="24"/>
                </w:rPr>
              </m:ctrlPr>
            </m:sub>
          </m:sSub>
          <m:sSub>
            <m:sSubPr>
              <m:ctrlPr>
                <w:rPr>
                  <w:rFonts w:hint="default" w:ascii="Cambria Math" w:hAnsi="Cambria Math" w:eastAsia="宋体" w:cs="Bahnschrift SemiLight SemiCondensed"/>
                  <w:sz w:val="24"/>
                </w:rPr>
              </m:ctrlPr>
            </m:sSubPr>
            <m:e>
              <m:r>
                <m:rPr/>
                <w:rPr>
                  <w:rFonts w:hint="default" w:ascii="Cambria Math" w:hAnsi="Cambria Math" w:eastAsia="宋体" w:cs="Bahnschrift SemiLight SemiCondensed"/>
                  <w:sz w:val="24"/>
                </w:rPr>
                <m:t>X</m:t>
              </m:r>
              <m:ctrlPr>
                <w:rPr>
                  <w:rFonts w:hint="default" w:ascii="Cambria Math" w:hAnsi="Cambria Math" w:eastAsia="宋体" w:cs="Bahnschrift SemiLight SemiCondensed"/>
                  <w:sz w:val="24"/>
                </w:rPr>
              </m:ctrlPr>
            </m:e>
            <m:sub>
              <m:r>
                <m:rPr/>
                <w:rPr>
                  <w:rFonts w:hint="default" w:ascii="Cambria Math" w:hAnsi="Cambria Math" w:eastAsia="宋体" w:cs="Bahnschrift SemiLight SemiCondensed"/>
                  <w:sz w:val="24"/>
                </w:rPr>
                <m:t>10</m:t>
              </m:r>
              <m:ctrlPr>
                <w:rPr>
                  <w:rFonts w:hint="default" w:ascii="Cambria Math" w:hAnsi="Cambria Math" w:eastAsia="宋体" w:cs="Bahnschrift SemiLight SemiCondensed"/>
                  <w:sz w:val="24"/>
                </w:rPr>
              </m:ctrlPr>
            </m:sub>
          </m:sSub>
          <m:r>
            <m:rPr/>
            <w:rPr>
              <w:rFonts w:hint="default" w:ascii="Cambria Math" w:hAnsi="Cambria Math" w:eastAsia="宋体" w:cs="Bahnschrift SemiLight SemiCondensed"/>
              <w:sz w:val="24"/>
            </w:rPr>
            <m:t>+ϵ</m:t>
          </m:r>
        </m:oMath>
      </m:oMathPara>
    </w:p>
    <w:p w14:paraId="2799DBDD">
      <w:pPr>
        <w:pStyle w:val="4"/>
        <w:bidi w:val="0"/>
        <w:rPr>
          <w:rFonts w:hint="eastAsia"/>
          <w:lang w:val="en-US" w:eastAsia="zh-CN"/>
        </w:rPr>
      </w:pPr>
      <w:bookmarkStart w:id="6" w:name="_Toc26524"/>
      <w:r>
        <w:rPr>
          <w:rFonts w:hint="eastAsia"/>
          <w:lang w:val="en-US" w:eastAsia="zh-CN"/>
        </w:rPr>
        <w:t>2.3.2 变量选择</w:t>
      </w:r>
      <w:bookmarkEnd w:id="6"/>
    </w:p>
    <w:p w14:paraId="2298B88A">
      <w:pPr>
        <w:keepNext w:val="0"/>
        <w:keepLines w:val="0"/>
        <w:pageBreakBefore w:val="0"/>
        <w:widowControl w:val="0"/>
        <w:kinsoku/>
        <w:wordWrap/>
        <w:overflowPunct/>
        <w:topLinePunct w:val="0"/>
        <w:autoSpaceDE/>
        <w:autoSpaceDN/>
        <w:bidi w:val="0"/>
        <w:adjustRightInd/>
        <w:snapToGrid/>
        <w:ind w:firstLine="480" w:firstLineChars="200"/>
        <w:textAlignment w:val="auto"/>
      </w:pPr>
      <w:r>
        <w:t>为了优化模型结构，采用向后逐步回归法进行变量选择。该方法从全模型出发，依据P值逐步剔除统计上不显著的变量，直至所有保留变量均达到显著性水平。这一过程旨在在保证模型解释力的同时，最大程度地降低模型复杂度。</w:t>
      </w:r>
    </w:p>
    <w:p w14:paraId="7CD6A439">
      <w:pPr>
        <w:pStyle w:val="4"/>
        <w:bidi w:val="0"/>
        <w:rPr>
          <w:rFonts w:hint="eastAsia"/>
          <w:lang w:val="en-US" w:eastAsia="zh-CN"/>
        </w:rPr>
      </w:pPr>
      <w:bookmarkStart w:id="7" w:name="_Toc17100"/>
      <w:r>
        <w:rPr>
          <w:rFonts w:hint="eastAsia"/>
          <w:lang w:val="en-US" w:eastAsia="zh-CN"/>
        </w:rPr>
        <w:t>2.3.3 模型诊断</w:t>
      </w:r>
      <w:bookmarkEnd w:id="7"/>
    </w:p>
    <w:p w14:paraId="1FA189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对筛选后的模型进行严格的残差诊断。利用 Jarque-Bera 检验评估残差的正态性，并采用 Breusch-Pagan 检验探测异方差性。若发现数据存在异方差，则引入 HC3 类型的稳健标准误重新估计系数的置信区间与显著性，以防止假设违背导致的推断错误。</w:t>
      </w:r>
    </w:p>
    <w:p w14:paraId="3E37B635">
      <w:pPr>
        <w:pStyle w:val="4"/>
        <w:bidi w:val="0"/>
        <w:rPr>
          <w:rFonts w:hint="eastAsia"/>
          <w:lang w:val="en-US" w:eastAsia="zh-CN"/>
        </w:rPr>
      </w:pPr>
      <w:bookmarkStart w:id="8" w:name="_Toc15632"/>
      <w:r>
        <w:rPr>
          <w:rFonts w:hint="eastAsia"/>
          <w:lang w:val="en-US" w:eastAsia="zh-CN"/>
        </w:rPr>
        <w:t>2.3.4 模型拓展</w:t>
      </w:r>
      <w:bookmarkEnd w:id="8"/>
    </w:p>
    <w:p w14:paraId="60A081F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hAnsi="Cambria Math" w:cs="Bahnschrift SemiLight SemiCondensed"/>
          <w:i w:val="0"/>
          <w:sz w:val="24"/>
          <w:lang w:val="en-US" w:eastAsia="zh-CN"/>
        </w:rPr>
      </w:pPr>
      <w:r>
        <w:rPr>
          <w:rFonts w:hint="default"/>
          <w:lang w:val="en-US" w:eastAsia="zh-CN"/>
        </w:rPr>
        <w:t>本研究进行了两个维度的拓展分析。其一，引入 Lasso 回归</w:t>
      </w:r>
      <w:r>
        <w:rPr>
          <w:rFonts w:hint="eastAsia"/>
          <w:lang w:val="en-US" w:eastAsia="zh-CN"/>
        </w:rPr>
        <w:t>，</w:t>
      </w:r>
      <w:r>
        <w:rPr>
          <w:rFonts w:hint="default"/>
          <w:lang w:val="en-US" w:eastAsia="zh-CN"/>
        </w:rPr>
        <w:t xml:space="preserve">与逐步回归的硬性剔除不同，Lasso 通过 </w:t>
      </w:r>
      <w:r>
        <w:rPr>
          <w:rFonts w:hint="eastAsia"/>
          <w:lang w:val="en-US" w:eastAsia="zh-CN"/>
        </w:rPr>
        <w:t>L1</w:t>
      </w:r>
      <w:r>
        <w:rPr>
          <w:rFonts w:hint="default"/>
          <w:lang w:val="en-US" w:eastAsia="zh-CN"/>
        </w:rPr>
        <w:t xml:space="preserve">正则化惩罚项将不重要变量的系数压缩至零。若 Lasso 选择的变量子集与逐步回归结果一致，将极大地增强结论的稳健性。其二，构建包含交互项的模型，具体考察BMI </w:t>
      </w:r>
      <w:r>
        <w:rPr>
          <w:rFonts w:hint="default" w:ascii="Arial" w:hAnsi="Arial" w:cs="Arial"/>
          <w:lang w:val="en-US" w:eastAsia="zh-CN"/>
        </w:rPr>
        <w:t>×</w:t>
      </w:r>
      <w:r>
        <w:rPr>
          <w:rFonts w:hint="eastAsia"/>
          <w:lang w:val="en-US" w:eastAsia="zh-CN"/>
        </w:rPr>
        <w:t xml:space="preserve"> </w:t>
      </w:r>
      <w:r>
        <w:rPr>
          <w:rFonts w:hint="default"/>
          <w:lang w:val="en-US" w:eastAsia="zh-CN"/>
        </w:rPr>
        <w:t>Sex的交互效应，以检验肥胖对疾病进展的影响是否具有性别特异性。</w:t>
      </w:r>
    </w:p>
    <w:p w14:paraId="12BA952F">
      <w:pPr>
        <w:pStyle w:val="2"/>
        <w:numPr>
          <w:ilvl w:val="0"/>
          <w:numId w:val="1"/>
        </w:numPr>
      </w:pPr>
      <w:bookmarkStart w:id="9" w:name="_Toc1980"/>
      <w:r>
        <w:rPr>
          <w:rFonts w:hint="eastAsia"/>
          <w:lang w:val="en-US" w:eastAsia="zh-CN"/>
        </w:rPr>
        <w:t>实证分析</w:t>
      </w:r>
      <w:bookmarkEnd w:id="9"/>
    </w:p>
    <w:p w14:paraId="63D2A20E">
      <w:pPr>
        <w:pStyle w:val="3"/>
        <w:numPr>
          <w:ilvl w:val="1"/>
          <w:numId w:val="1"/>
        </w:numPr>
      </w:pPr>
      <w:bookmarkStart w:id="10" w:name="_Toc9342"/>
      <w:r>
        <w:rPr>
          <w:rFonts w:hint="eastAsia"/>
          <w:lang w:val="en-US" w:eastAsia="zh-CN"/>
        </w:rPr>
        <w:t>多元线性回归</w:t>
      </w:r>
      <w:bookmarkEnd w:id="10"/>
    </w:p>
    <w:p w14:paraId="5045D488">
      <w:pPr>
        <w:pStyle w:val="25"/>
        <w:ind w:firstLine="480"/>
        <w:jc w:val="left"/>
        <w:rPr>
          <w:rFonts w:hint="eastAsia" w:asciiTheme="minorHAnsi" w:hAnsiTheme="minorHAnsi" w:cstheme="minorHAnsi"/>
          <w:szCs w:val="24"/>
          <w:lang w:val="en-US" w:eastAsia="zh-CN"/>
        </w:rPr>
      </w:pPr>
      <w:r>
        <w:rPr>
          <w:rFonts w:hint="eastAsia" w:asciiTheme="minorHAnsi" w:hAnsiTheme="minorHAnsi" w:cstheme="minorHAnsi"/>
          <w:szCs w:val="24"/>
          <w:lang w:val="en-US" w:eastAsia="zh-CN"/>
        </w:rPr>
        <w:t>全模型OLS代码结果可见附录A，结果显示整体显著（F=46.27, p&lt;0.001），R方为0.518，调整后的R方为0.507，说明该模型大概可以解释百分之50左右的方差，但单个系数的标准误异常偏大，仅有sex、bmi、bp、s5的单变量t检验p值小于0.05，显著不为0，而VIF诊断证实了由相关性分析预警的共线性结构，结果如表2所示：</w:t>
      </w:r>
    </w:p>
    <w:p w14:paraId="1B0F15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b/>
          <w:bCs/>
          <w:lang w:val="en-US"/>
        </w:rPr>
      </w:pPr>
      <w:r>
        <w:rPr>
          <w:rFonts w:hint="eastAsia" w:ascii="Times New Roman" w:hAnsi="Times New Roman" w:eastAsia="宋体" w:cs="Times New Roman"/>
          <w:b/>
          <w:bCs/>
          <w:color w:val="000000"/>
          <w:kern w:val="0"/>
          <w:sz w:val="21"/>
          <w:szCs w:val="21"/>
          <w:lang w:val="en-US" w:eastAsia="zh-CN" w:bidi="ar"/>
        </w:rPr>
        <w:t>表</w:t>
      </w:r>
      <w:r>
        <w:rPr>
          <w:rFonts w:hint="default" w:ascii="Times New Roman" w:hAnsi="Times New Roman" w:eastAsia="宋体" w:cs="Times New Roman"/>
          <w:b/>
          <w:bCs/>
          <w:color w:val="000000"/>
          <w:kern w:val="0"/>
          <w:sz w:val="21"/>
          <w:szCs w:val="21"/>
          <w:lang w:val="en-US" w:eastAsia="zh-CN" w:bidi="ar"/>
        </w:rPr>
        <w:t>2</w:t>
      </w:r>
      <w:r>
        <w:rPr>
          <w:rFonts w:hint="eastAsia" w:ascii="Times New Roman" w:hAnsi="Times New Roman" w:eastAsia="宋体" w:cs="Times New Roman"/>
          <w:b/>
          <w:bCs/>
          <w:color w:val="000000"/>
          <w:kern w:val="0"/>
          <w:sz w:val="21"/>
          <w:szCs w:val="21"/>
          <w:lang w:val="en-US" w:eastAsia="zh-CN" w:bidi="ar"/>
        </w:rPr>
        <w:t>：变量</w:t>
      </w:r>
      <w:r>
        <w:rPr>
          <w:rFonts w:hint="default" w:ascii="Times New Roman" w:hAnsi="Times New Roman" w:eastAsia="宋体" w:cs="Times New Roman"/>
          <w:b/>
          <w:bCs/>
          <w:color w:val="000000"/>
          <w:kern w:val="0"/>
          <w:sz w:val="21"/>
          <w:szCs w:val="21"/>
          <w:lang w:val="en-US" w:eastAsia="zh-CN" w:bidi="ar"/>
        </w:rPr>
        <w:t>VIF</w:t>
      </w:r>
      <w:r>
        <w:rPr>
          <w:rFonts w:hint="eastAsia" w:ascii="Times New Roman" w:hAnsi="Times New Roman" w:eastAsia="宋体" w:cs="Times New Roman"/>
          <w:b/>
          <w:bCs/>
          <w:color w:val="000000"/>
          <w:kern w:val="0"/>
          <w:sz w:val="21"/>
          <w:szCs w:val="21"/>
          <w:lang w:val="en-US" w:eastAsia="zh-CN" w:bidi="ar"/>
        </w:rPr>
        <w:t>表</w:t>
      </w:r>
    </w:p>
    <w:tbl>
      <w:tblPr>
        <w:tblStyle w:val="14"/>
        <w:tblW w:w="5000"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4290"/>
        <w:gridCol w:w="4232"/>
      </w:tblGrid>
      <w:tr w14:paraId="1705890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70" w:hRule="atLeast"/>
        </w:trPr>
        <w:tc>
          <w:tcPr>
            <w:tcW w:w="2517" w:type="pct"/>
            <w:tcBorders>
              <w:top w:val="single" w:color="auto" w:sz="12" w:space="0"/>
              <w:left w:val="nil"/>
              <w:bottom w:val="single" w:color="auto" w:sz="6" w:space="0"/>
              <w:right w:val="nil"/>
            </w:tcBorders>
            <w:shd w:val="clear"/>
            <w:noWrap/>
            <w:vAlign w:val="center"/>
          </w:tcPr>
          <w:p w14:paraId="4156BB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Variable</w:t>
            </w:r>
          </w:p>
        </w:tc>
        <w:tc>
          <w:tcPr>
            <w:tcW w:w="2483" w:type="pct"/>
            <w:tcBorders>
              <w:top w:val="single" w:color="auto" w:sz="12" w:space="0"/>
              <w:left w:val="nil"/>
              <w:bottom w:val="single" w:color="auto" w:sz="6" w:space="0"/>
              <w:right w:val="nil"/>
            </w:tcBorders>
            <w:shd w:val="clear"/>
            <w:noWrap/>
            <w:vAlign w:val="center"/>
          </w:tcPr>
          <w:p w14:paraId="0657253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VIF</w:t>
            </w:r>
          </w:p>
        </w:tc>
      </w:tr>
      <w:tr w14:paraId="3CCDEC8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single" w:color="auto" w:sz="6" w:space="0"/>
              <w:left w:val="nil"/>
              <w:bottom w:val="nil"/>
              <w:right w:val="nil"/>
            </w:tcBorders>
            <w:shd w:val="clear"/>
            <w:noWrap/>
            <w:vAlign w:val="center"/>
          </w:tcPr>
          <w:p w14:paraId="0B666E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age</w:t>
            </w:r>
          </w:p>
        </w:tc>
        <w:tc>
          <w:tcPr>
            <w:tcW w:w="2483" w:type="pct"/>
            <w:tcBorders>
              <w:top w:val="single" w:color="auto" w:sz="6" w:space="0"/>
              <w:left w:val="nil"/>
              <w:bottom w:val="nil"/>
              <w:right w:val="nil"/>
            </w:tcBorders>
            <w:shd w:val="clear"/>
            <w:noWrap/>
            <w:vAlign w:val="center"/>
          </w:tcPr>
          <w:p w14:paraId="637B32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1.217</w:t>
            </w:r>
          </w:p>
        </w:tc>
      </w:tr>
      <w:tr w14:paraId="674CE790">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7D02C6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sex</w:t>
            </w:r>
          </w:p>
        </w:tc>
        <w:tc>
          <w:tcPr>
            <w:tcW w:w="2483" w:type="pct"/>
            <w:tcBorders>
              <w:top w:val="nil"/>
              <w:left w:val="nil"/>
              <w:bottom w:val="nil"/>
              <w:right w:val="nil"/>
            </w:tcBorders>
            <w:shd w:val="clear"/>
            <w:noWrap/>
            <w:vAlign w:val="center"/>
          </w:tcPr>
          <w:p w14:paraId="0452C4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1.278</w:t>
            </w:r>
          </w:p>
        </w:tc>
      </w:tr>
      <w:tr w14:paraId="5F842D1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3E15E3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bmi</w:t>
            </w:r>
          </w:p>
        </w:tc>
        <w:tc>
          <w:tcPr>
            <w:tcW w:w="2483" w:type="pct"/>
            <w:tcBorders>
              <w:top w:val="nil"/>
              <w:left w:val="nil"/>
              <w:bottom w:val="nil"/>
              <w:right w:val="nil"/>
            </w:tcBorders>
            <w:shd w:val="clear"/>
            <w:noWrap/>
            <w:vAlign w:val="center"/>
          </w:tcPr>
          <w:p w14:paraId="4179F5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1.509</w:t>
            </w:r>
          </w:p>
        </w:tc>
      </w:tr>
      <w:tr w14:paraId="41B743F4">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4AC35D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bp</w:t>
            </w:r>
          </w:p>
        </w:tc>
        <w:tc>
          <w:tcPr>
            <w:tcW w:w="2483" w:type="pct"/>
            <w:tcBorders>
              <w:top w:val="nil"/>
              <w:left w:val="nil"/>
              <w:bottom w:val="nil"/>
              <w:right w:val="nil"/>
            </w:tcBorders>
            <w:shd w:val="clear"/>
            <w:noWrap/>
            <w:vAlign w:val="center"/>
          </w:tcPr>
          <w:p w14:paraId="2FFD4FA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1.459</w:t>
            </w:r>
          </w:p>
        </w:tc>
      </w:tr>
      <w:tr w14:paraId="7350577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32B347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s1</w:t>
            </w:r>
          </w:p>
        </w:tc>
        <w:tc>
          <w:tcPr>
            <w:tcW w:w="2483" w:type="pct"/>
            <w:tcBorders>
              <w:top w:val="nil"/>
              <w:left w:val="nil"/>
              <w:bottom w:val="nil"/>
              <w:right w:val="nil"/>
            </w:tcBorders>
            <w:shd w:val="clear"/>
            <w:noWrap/>
            <w:vAlign w:val="center"/>
          </w:tcPr>
          <w:p w14:paraId="5F4891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59.203</w:t>
            </w:r>
          </w:p>
        </w:tc>
      </w:tr>
      <w:tr w14:paraId="37A9AF0D">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51D65B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s2</w:t>
            </w:r>
          </w:p>
        </w:tc>
        <w:tc>
          <w:tcPr>
            <w:tcW w:w="2483" w:type="pct"/>
            <w:tcBorders>
              <w:top w:val="nil"/>
              <w:left w:val="nil"/>
              <w:bottom w:val="nil"/>
              <w:right w:val="nil"/>
            </w:tcBorders>
            <w:shd w:val="clear"/>
            <w:noWrap/>
            <w:vAlign w:val="center"/>
          </w:tcPr>
          <w:p w14:paraId="7A3902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39.193</w:t>
            </w:r>
          </w:p>
        </w:tc>
      </w:tr>
      <w:tr w14:paraId="5A674439">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38BD66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s3</w:t>
            </w:r>
          </w:p>
        </w:tc>
        <w:tc>
          <w:tcPr>
            <w:tcW w:w="2483" w:type="pct"/>
            <w:tcBorders>
              <w:top w:val="nil"/>
              <w:left w:val="nil"/>
              <w:bottom w:val="nil"/>
              <w:right w:val="nil"/>
            </w:tcBorders>
            <w:shd w:val="clear"/>
            <w:noWrap/>
            <w:vAlign w:val="center"/>
          </w:tcPr>
          <w:p w14:paraId="668C99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15.402</w:t>
            </w:r>
          </w:p>
        </w:tc>
      </w:tr>
      <w:tr w14:paraId="5346BFC4">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50D1426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s4</w:t>
            </w:r>
          </w:p>
        </w:tc>
        <w:tc>
          <w:tcPr>
            <w:tcW w:w="2483" w:type="pct"/>
            <w:tcBorders>
              <w:top w:val="nil"/>
              <w:left w:val="nil"/>
              <w:bottom w:val="nil"/>
              <w:right w:val="nil"/>
            </w:tcBorders>
            <w:shd w:val="clear"/>
            <w:noWrap/>
            <w:vAlign w:val="center"/>
          </w:tcPr>
          <w:p w14:paraId="7F5E76B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8.891</w:t>
            </w:r>
          </w:p>
        </w:tc>
      </w:tr>
      <w:tr w14:paraId="17CC5BCB">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270" w:hRule="atLeast"/>
        </w:trPr>
        <w:tc>
          <w:tcPr>
            <w:tcW w:w="2517" w:type="pct"/>
            <w:tcBorders>
              <w:top w:val="nil"/>
              <w:left w:val="nil"/>
              <w:bottom w:val="nil"/>
              <w:right w:val="nil"/>
            </w:tcBorders>
            <w:shd w:val="clear"/>
            <w:noWrap/>
            <w:vAlign w:val="center"/>
          </w:tcPr>
          <w:p w14:paraId="044C8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s5</w:t>
            </w:r>
          </w:p>
        </w:tc>
        <w:tc>
          <w:tcPr>
            <w:tcW w:w="2483" w:type="pct"/>
            <w:tcBorders>
              <w:top w:val="nil"/>
              <w:left w:val="nil"/>
              <w:bottom w:val="nil"/>
              <w:right w:val="nil"/>
            </w:tcBorders>
            <w:shd w:val="clear"/>
            <w:noWrap/>
            <w:vAlign w:val="center"/>
          </w:tcPr>
          <w:p w14:paraId="1DE887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10.076</w:t>
            </w:r>
          </w:p>
        </w:tc>
      </w:tr>
      <w:tr w14:paraId="2FF68EB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270" w:hRule="atLeast"/>
        </w:trPr>
        <w:tc>
          <w:tcPr>
            <w:tcW w:w="2517" w:type="pct"/>
            <w:tcBorders>
              <w:top w:val="nil"/>
              <w:left w:val="nil"/>
              <w:bottom w:val="single" w:color="auto" w:sz="12" w:space="0"/>
              <w:right w:val="nil"/>
            </w:tcBorders>
            <w:shd w:val="clear"/>
            <w:noWrap/>
            <w:vAlign w:val="center"/>
          </w:tcPr>
          <w:p w14:paraId="1CEF34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s6</w:t>
            </w:r>
          </w:p>
        </w:tc>
        <w:tc>
          <w:tcPr>
            <w:tcW w:w="2483" w:type="pct"/>
            <w:tcBorders>
              <w:top w:val="nil"/>
              <w:left w:val="nil"/>
              <w:bottom w:val="single" w:color="auto" w:sz="12" w:space="0"/>
              <w:right w:val="nil"/>
            </w:tcBorders>
            <w:shd w:val="clear"/>
            <w:noWrap/>
            <w:vAlign w:val="center"/>
          </w:tcPr>
          <w:p w14:paraId="4ABD9B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1.485</w:t>
            </w:r>
          </w:p>
        </w:tc>
      </w:tr>
    </w:tbl>
    <w:p w14:paraId="5E805BA1">
      <w:pPr>
        <w:pStyle w:val="25"/>
        <w:keepNext w:val="0"/>
        <w:keepLines w:val="0"/>
        <w:pageBreakBefore w:val="0"/>
        <w:widowControl w:val="0"/>
        <w:kinsoku/>
        <w:wordWrap/>
        <w:overflowPunct/>
        <w:topLinePunct w:val="0"/>
        <w:autoSpaceDE/>
        <w:autoSpaceDN/>
        <w:bidi w:val="0"/>
        <w:adjustRightInd/>
        <w:snapToGrid/>
        <w:spacing w:before="157" w:beforeLines="50"/>
        <w:ind w:firstLine="480"/>
        <w:jc w:val="left"/>
        <w:textAlignment w:val="auto"/>
        <w:rPr>
          <w:rFonts w:hint="default" w:asciiTheme="minorHAnsi" w:hAnsiTheme="minorHAnsi" w:cstheme="minorHAnsi"/>
          <w:szCs w:val="24"/>
          <w:lang w:val="en-US" w:eastAsia="zh-CN"/>
        </w:rPr>
      </w:pPr>
      <w:r>
        <w:rPr>
          <w:rFonts w:hint="eastAsia" w:asciiTheme="minorHAnsi" w:hAnsiTheme="minorHAnsi" w:cstheme="minorHAnsi"/>
          <w:szCs w:val="24"/>
          <w:lang w:val="en-US" w:eastAsia="zh-CN"/>
        </w:rPr>
        <w:t>表2结果显示：s1、s2、s3的方差膨胀因子显著超过阈值，这证实了血清胆固醇指标之间存在极强的信息重叠，直接导致全模型的参数估计极其不稳定，这一现象与2.2节的相关性分析结果有所对应，正因如此，本文采取向后逐步回归进行变量选择。</w:t>
      </w:r>
    </w:p>
    <w:p w14:paraId="35652070">
      <w:pPr>
        <w:pStyle w:val="3"/>
        <w:numPr>
          <w:ilvl w:val="1"/>
          <w:numId w:val="1"/>
        </w:numPr>
      </w:pPr>
      <w:bookmarkStart w:id="11" w:name="_Toc7255"/>
      <w:r>
        <w:rPr>
          <w:rFonts w:hint="eastAsia"/>
          <w:lang w:val="en-US" w:eastAsia="zh-CN"/>
        </w:rPr>
        <w:t>变量选择</w:t>
      </w:r>
      <w:bookmarkEnd w:id="11"/>
    </w:p>
    <w:p w14:paraId="5C8243A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向后逐步回归是特征选择与模型优化的经典方法，其核心逻辑是从包含全部候选特征的全模型出发，通过迭代剔除统计上不显著的特征，最终保留最优子集，适用于处理多重共线性问题，</w:t>
      </w:r>
      <w:r>
        <w:rPr>
          <w:rFonts w:hint="eastAsia"/>
          <w:lang w:val="en-US" w:eastAsia="zh-CN"/>
        </w:rPr>
        <w:t>本文选取向后逐步回归方法进行变量选择，经过筛选，先后剔除了age (p-value = 0.87)、s3 (p-value = 0.64)、s6 (p-value = 0.30)、s4 (p-value = 0.26)，最终保留的变量：sex、bmi、bp、s1、s2、s5。</w:t>
      </w:r>
    </w:p>
    <w:p w14:paraId="2EBB5361">
      <w:pPr>
        <w:pStyle w:val="3"/>
        <w:numPr>
          <w:ilvl w:val="1"/>
          <w:numId w:val="1"/>
        </w:numPr>
      </w:pPr>
      <w:bookmarkStart w:id="12" w:name="_Toc15652"/>
      <w:r>
        <w:rPr>
          <w:rFonts w:hint="eastAsia"/>
          <w:lang w:val="en-US" w:eastAsia="zh-CN"/>
        </w:rPr>
        <w:t>残差正态性与异方差检验</w:t>
      </w:r>
      <w:bookmarkEnd w:id="12"/>
    </w:p>
    <w:p w14:paraId="68B471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确定最终保留的变量后，重新拟合模型，此时需要对残差进行正态性检验与异方差检验，对残差进行分析有助于了解模型拟合是否满足前提假设。</w:t>
      </w:r>
    </w:p>
    <w:p w14:paraId="41E6F60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正态性检验依旧使用2.1节中提到的Jarque-Bera 正态性检验，检验结果p值为0.56，因此残差服从正态分布，满足正态性假设。</w:t>
      </w:r>
    </w:p>
    <w:p w14:paraId="7338FC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异方差检验使用Breusch-Pagan（BP）检验，它是回归模型残差异方差性的经典拉格朗日乘数检验方法，通过构建残差平方项对自变量的辅助回归，若拒绝原假设，判定模型存在显著异方差性，此时需采用 HC3 等稳健标准误对回归结果进行修正，以保证系数显著性检验的有效性。本文BP检验的p值为0.001，说明存在显著的异方差现象，因此要用HC3稳健标准误进行重拟合。</w:t>
      </w:r>
    </w:p>
    <w:p w14:paraId="29AED321">
      <w:pPr>
        <w:pStyle w:val="3"/>
        <w:numPr>
          <w:ilvl w:val="1"/>
          <w:numId w:val="1"/>
        </w:numPr>
      </w:pPr>
      <w:bookmarkStart w:id="13" w:name="_Toc10657"/>
      <w:r>
        <w:rPr>
          <w:rFonts w:hint="eastAsia"/>
          <w:lang w:val="en-US" w:eastAsia="zh-CN"/>
        </w:rPr>
        <w:t>最终拟合模型</w:t>
      </w:r>
      <w:bookmarkEnd w:id="13"/>
    </w:p>
    <w:p w14:paraId="55AA2190">
      <w:pPr>
        <w:keepNext w:val="0"/>
        <w:keepLines w:val="0"/>
        <w:pageBreakBefore w:val="0"/>
        <w:widowControl w:val="0"/>
        <w:kinsoku/>
        <w:wordWrap/>
        <w:overflowPunct/>
        <w:topLinePunct w:val="0"/>
        <w:autoSpaceDE/>
        <w:autoSpaceDN/>
        <w:bidi w:val="0"/>
        <w:adjustRightInd/>
        <w:snapToGrid/>
        <w:spacing w:after="157" w:afterLines="50"/>
        <w:ind w:firstLine="480" w:firstLineChars="200"/>
        <w:textAlignment w:val="auto"/>
        <w:rPr>
          <w:rFonts w:hint="eastAsia" w:asciiTheme="minorHAnsi" w:hAnsiTheme="minorHAnsi" w:cstheme="minorHAnsi"/>
          <w:szCs w:val="24"/>
          <w:lang w:val="en-US" w:eastAsia="zh-CN"/>
        </w:rPr>
      </w:pPr>
      <w:r>
        <w:rPr>
          <w:rFonts w:hint="eastAsia" w:asciiTheme="minorHAnsi" w:hAnsiTheme="minorHAnsi" w:cstheme="minorHAnsi"/>
          <w:szCs w:val="24"/>
          <w:lang w:val="en-US" w:eastAsia="zh-CN"/>
        </w:rPr>
        <w:t>全模型OLS代码结果可见附录B，结果显示整体显著（F=104.7, p&lt;0.001），R方为0.515，调整后的R方为0.508，说明该模型依然可以解释百分之50左右的方差，最终模型的参数估计如表3所示：</w:t>
      </w:r>
    </w:p>
    <w:p w14:paraId="7CD9217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b/>
          <w:bCs/>
          <w:lang w:val="en-US"/>
        </w:rPr>
      </w:pPr>
      <w:r>
        <w:rPr>
          <w:rFonts w:hint="eastAsia" w:ascii="宋体" w:hAnsi="宋体" w:eastAsia="宋体" w:cs="Times New Roman"/>
          <w:b/>
          <w:bCs/>
          <w:color w:val="000000"/>
          <w:kern w:val="0"/>
          <w:sz w:val="21"/>
          <w:szCs w:val="21"/>
          <w:lang w:val="en-US" w:eastAsia="zh-CN" w:bidi="ar"/>
        </w:rPr>
        <w:t>表3：最终模型参数估计表</w:t>
      </w:r>
    </w:p>
    <w:tbl>
      <w:tblPr>
        <w:tblStyle w:val="14"/>
        <w:tblW w:w="5103" w:type="pct"/>
        <w:tblInd w:w="0" w:type="dxa"/>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Layout w:type="autofit"/>
        <w:tblCellMar>
          <w:top w:w="0" w:type="dxa"/>
          <w:left w:w="108" w:type="dxa"/>
          <w:bottom w:w="0" w:type="dxa"/>
          <w:right w:w="108" w:type="dxa"/>
        </w:tblCellMar>
      </w:tblPr>
      <w:tblGrid>
        <w:gridCol w:w="1643"/>
        <w:gridCol w:w="1245"/>
        <w:gridCol w:w="1137"/>
        <w:gridCol w:w="1241"/>
        <w:gridCol w:w="1241"/>
        <w:gridCol w:w="2191"/>
      </w:tblGrid>
      <w:tr w14:paraId="6EAD902A">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shd w:val="clear"/>
          <w:tblCellMar>
            <w:top w:w="0" w:type="dxa"/>
            <w:left w:w="108" w:type="dxa"/>
            <w:bottom w:w="0" w:type="dxa"/>
            <w:right w:w="108" w:type="dxa"/>
          </w:tblCellMar>
        </w:tblPrEx>
        <w:trPr>
          <w:trHeight w:val="340" w:hRule="atLeast"/>
        </w:trPr>
        <w:tc>
          <w:tcPr>
            <w:tcW w:w="944" w:type="pct"/>
            <w:tcBorders>
              <w:top w:val="single" w:color="auto" w:sz="12" w:space="0"/>
              <w:left w:val="nil"/>
              <w:bottom w:val="single" w:color="auto" w:sz="6" w:space="0"/>
              <w:right w:val="nil"/>
            </w:tcBorders>
            <w:shd w:val="clear"/>
            <w:vAlign w:val="center"/>
          </w:tcPr>
          <w:p w14:paraId="65AA894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Variable</w:t>
            </w:r>
          </w:p>
        </w:tc>
        <w:tc>
          <w:tcPr>
            <w:tcW w:w="715" w:type="pct"/>
            <w:tcBorders>
              <w:top w:val="single" w:color="auto" w:sz="12" w:space="0"/>
              <w:left w:val="nil"/>
              <w:bottom w:val="single" w:color="auto" w:sz="6" w:space="0"/>
              <w:right w:val="nil"/>
            </w:tcBorders>
            <w:shd w:val="clear"/>
            <w:vAlign w:val="center"/>
          </w:tcPr>
          <w:p w14:paraId="0BBFAD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Arial" w:hAnsi="Arial" w:cs="Arial"/>
                <w:b/>
                <w:bCs/>
                <w:sz w:val="24"/>
                <w:szCs w:val="24"/>
                <w:bdr w:val="none" w:color="auto" w:sz="0" w:space="0"/>
                <w:lang w:val="en-US"/>
              </w:rPr>
              <w:t>β</w:t>
            </w:r>
          </w:p>
        </w:tc>
        <w:tc>
          <w:tcPr>
            <w:tcW w:w="653" w:type="pct"/>
            <w:tcBorders>
              <w:top w:val="single" w:color="auto" w:sz="12" w:space="0"/>
              <w:left w:val="nil"/>
              <w:bottom w:val="single" w:color="auto" w:sz="6" w:space="0"/>
              <w:right w:val="nil"/>
            </w:tcBorders>
            <w:shd w:val="clear"/>
            <w:vAlign w:val="center"/>
          </w:tcPr>
          <w:p w14:paraId="7BE36BFA">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SE</w:t>
            </w:r>
          </w:p>
        </w:tc>
        <w:tc>
          <w:tcPr>
            <w:tcW w:w="713" w:type="pct"/>
            <w:tcBorders>
              <w:top w:val="single" w:color="auto" w:sz="12" w:space="0"/>
              <w:left w:val="nil"/>
              <w:bottom w:val="single" w:color="auto" w:sz="6" w:space="0"/>
              <w:right w:val="nil"/>
            </w:tcBorders>
            <w:shd w:val="clear"/>
            <w:vAlign w:val="center"/>
          </w:tcPr>
          <w:p w14:paraId="6467008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t</w:t>
            </w:r>
          </w:p>
        </w:tc>
        <w:tc>
          <w:tcPr>
            <w:tcW w:w="713" w:type="pct"/>
            <w:tcBorders>
              <w:top w:val="single" w:color="auto" w:sz="12" w:space="0"/>
              <w:left w:val="nil"/>
              <w:bottom w:val="single" w:color="auto" w:sz="6" w:space="0"/>
              <w:right w:val="nil"/>
            </w:tcBorders>
            <w:shd w:val="clear"/>
            <w:vAlign w:val="center"/>
          </w:tcPr>
          <w:p w14:paraId="16E1C4E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P-value</w:t>
            </w:r>
          </w:p>
        </w:tc>
        <w:tc>
          <w:tcPr>
            <w:tcW w:w="1259" w:type="pct"/>
            <w:tcBorders>
              <w:top w:val="single" w:color="auto" w:sz="12" w:space="0"/>
              <w:left w:val="nil"/>
              <w:bottom w:val="single" w:color="auto" w:sz="6" w:space="0"/>
              <w:right w:val="nil"/>
            </w:tcBorders>
            <w:shd w:val="clear"/>
            <w:vAlign w:val="center"/>
          </w:tcPr>
          <w:p w14:paraId="287366F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95%CI</w:t>
            </w:r>
          </w:p>
        </w:tc>
      </w:tr>
      <w:tr w14:paraId="5EE9B0F6">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54" w:hRule="atLeast"/>
        </w:trPr>
        <w:tc>
          <w:tcPr>
            <w:tcW w:w="944" w:type="pct"/>
            <w:tcBorders>
              <w:top w:val="single" w:color="auto" w:sz="6" w:space="0"/>
              <w:left w:val="nil"/>
              <w:bottom w:val="nil"/>
              <w:right w:val="nil"/>
            </w:tcBorders>
            <w:shd w:val="clear"/>
            <w:vAlign w:val="center"/>
          </w:tcPr>
          <w:p w14:paraId="1E43A4D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Intercept</w:t>
            </w:r>
          </w:p>
        </w:tc>
        <w:tc>
          <w:tcPr>
            <w:tcW w:w="715" w:type="pct"/>
            <w:tcBorders>
              <w:top w:val="single" w:color="auto" w:sz="6" w:space="0"/>
              <w:left w:val="nil"/>
              <w:bottom w:val="nil"/>
              <w:right w:val="nil"/>
            </w:tcBorders>
            <w:shd w:val="clear"/>
            <w:vAlign w:val="center"/>
          </w:tcPr>
          <w:p w14:paraId="183B0C0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152.13</w:t>
            </w:r>
          </w:p>
        </w:tc>
        <w:tc>
          <w:tcPr>
            <w:tcW w:w="653" w:type="pct"/>
            <w:tcBorders>
              <w:top w:val="single" w:color="auto" w:sz="6" w:space="0"/>
              <w:left w:val="nil"/>
              <w:bottom w:val="nil"/>
              <w:right w:val="nil"/>
            </w:tcBorders>
            <w:shd w:val="clear"/>
            <w:vAlign w:val="center"/>
          </w:tcPr>
          <w:p w14:paraId="7641DA6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2.59</w:t>
            </w:r>
          </w:p>
        </w:tc>
        <w:tc>
          <w:tcPr>
            <w:tcW w:w="713" w:type="pct"/>
            <w:tcBorders>
              <w:top w:val="single" w:color="auto" w:sz="6" w:space="0"/>
              <w:left w:val="nil"/>
              <w:bottom w:val="nil"/>
              <w:right w:val="nil"/>
            </w:tcBorders>
            <w:shd w:val="clear"/>
            <w:vAlign w:val="center"/>
          </w:tcPr>
          <w:p w14:paraId="2BC93E6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58.71</w:t>
            </w:r>
          </w:p>
        </w:tc>
        <w:tc>
          <w:tcPr>
            <w:tcW w:w="713" w:type="pct"/>
            <w:tcBorders>
              <w:top w:val="single" w:color="auto" w:sz="6" w:space="0"/>
              <w:left w:val="nil"/>
              <w:bottom w:val="nil"/>
              <w:right w:val="nil"/>
            </w:tcBorders>
            <w:shd w:val="clear"/>
            <w:vAlign w:val="center"/>
          </w:tcPr>
          <w:p w14:paraId="61A2E64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&lt;0.001</w:t>
            </w:r>
          </w:p>
        </w:tc>
        <w:tc>
          <w:tcPr>
            <w:tcW w:w="1259" w:type="pct"/>
            <w:tcBorders>
              <w:top w:val="single" w:color="auto" w:sz="6" w:space="0"/>
              <w:left w:val="nil"/>
              <w:bottom w:val="nil"/>
              <w:right w:val="nil"/>
            </w:tcBorders>
            <w:shd w:val="clear"/>
            <w:vAlign w:val="center"/>
          </w:tcPr>
          <w:p w14:paraId="5B26B55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[147.06, 157.21]</w:t>
            </w:r>
          </w:p>
        </w:tc>
      </w:tr>
      <w:tr w14:paraId="38855CDF">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54" w:hRule="atLeast"/>
        </w:trPr>
        <w:tc>
          <w:tcPr>
            <w:tcW w:w="944" w:type="pct"/>
            <w:tcBorders>
              <w:top w:val="nil"/>
              <w:left w:val="nil"/>
              <w:bottom w:val="nil"/>
              <w:right w:val="nil"/>
            </w:tcBorders>
            <w:shd w:val="clear"/>
            <w:vAlign w:val="center"/>
          </w:tcPr>
          <w:p w14:paraId="2D37F93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sex</w:t>
            </w:r>
          </w:p>
        </w:tc>
        <w:tc>
          <w:tcPr>
            <w:tcW w:w="715" w:type="pct"/>
            <w:tcBorders>
              <w:top w:val="nil"/>
              <w:left w:val="nil"/>
              <w:bottom w:val="nil"/>
              <w:right w:val="nil"/>
            </w:tcBorders>
            <w:shd w:val="clear"/>
            <w:vAlign w:val="center"/>
          </w:tcPr>
          <w:p w14:paraId="57605B9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-226.51</w:t>
            </w:r>
          </w:p>
        </w:tc>
        <w:tc>
          <w:tcPr>
            <w:tcW w:w="653" w:type="pct"/>
            <w:tcBorders>
              <w:top w:val="nil"/>
              <w:left w:val="nil"/>
              <w:bottom w:val="nil"/>
              <w:right w:val="nil"/>
            </w:tcBorders>
            <w:shd w:val="clear"/>
            <w:vAlign w:val="center"/>
          </w:tcPr>
          <w:p w14:paraId="5EDF89C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58.48</w:t>
            </w:r>
          </w:p>
        </w:tc>
        <w:tc>
          <w:tcPr>
            <w:tcW w:w="713" w:type="pct"/>
            <w:tcBorders>
              <w:top w:val="nil"/>
              <w:left w:val="nil"/>
              <w:bottom w:val="nil"/>
              <w:right w:val="nil"/>
            </w:tcBorders>
            <w:shd w:val="clear"/>
            <w:vAlign w:val="center"/>
          </w:tcPr>
          <w:p w14:paraId="241CD7D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-3.87</w:t>
            </w:r>
          </w:p>
        </w:tc>
        <w:tc>
          <w:tcPr>
            <w:tcW w:w="713" w:type="pct"/>
            <w:tcBorders>
              <w:top w:val="nil"/>
              <w:left w:val="nil"/>
              <w:bottom w:val="nil"/>
              <w:right w:val="nil"/>
            </w:tcBorders>
            <w:shd w:val="clear"/>
            <w:vAlign w:val="center"/>
          </w:tcPr>
          <w:p w14:paraId="237C782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&lt;0.001</w:t>
            </w:r>
          </w:p>
        </w:tc>
        <w:tc>
          <w:tcPr>
            <w:tcW w:w="1259" w:type="pct"/>
            <w:tcBorders>
              <w:top w:val="nil"/>
              <w:left w:val="nil"/>
              <w:bottom w:val="nil"/>
              <w:right w:val="nil"/>
            </w:tcBorders>
            <w:shd w:val="clear"/>
            <w:vAlign w:val="center"/>
          </w:tcPr>
          <w:p w14:paraId="5AD4AB1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[-341.12, -111.89]</w:t>
            </w:r>
          </w:p>
        </w:tc>
      </w:tr>
      <w:tr w14:paraId="262C64A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54" w:hRule="atLeast"/>
        </w:trPr>
        <w:tc>
          <w:tcPr>
            <w:tcW w:w="944" w:type="pct"/>
            <w:tcBorders>
              <w:top w:val="nil"/>
              <w:left w:val="nil"/>
              <w:bottom w:val="nil"/>
              <w:right w:val="nil"/>
            </w:tcBorders>
            <w:shd w:val="clear"/>
            <w:vAlign w:val="center"/>
          </w:tcPr>
          <w:p w14:paraId="7FDC470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bmi</w:t>
            </w:r>
          </w:p>
        </w:tc>
        <w:tc>
          <w:tcPr>
            <w:tcW w:w="715" w:type="pct"/>
            <w:tcBorders>
              <w:top w:val="nil"/>
              <w:left w:val="nil"/>
              <w:bottom w:val="nil"/>
              <w:right w:val="nil"/>
            </w:tcBorders>
            <w:shd w:val="clear"/>
            <w:vAlign w:val="center"/>
          </w:tcPr>
          <w:p w14:paraId="2327071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529.88</w:t>
            </w:r>
          </w:p>
        </w:tc>
        <w:tc>
          <w:tcPr>
            <w:tcW w:w="653" w:type="pct"/>
            <w:tcBorders>
              <w:top w:val="nil"/>
              <w:left w:val="nil"/>
              <w:bottom w:val="nil"/>
              <w:right w:val="nil"/>
            </w:tcBorders>
            <w:shd w:val="clear"/>
            <w:vAlign w:val="center"/>
          </w:tcPr>
          <w:p w14:paraId="57E311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68.51</w:t>
            </w:r>
          </w:p>
        </w:tc>
        <w:tc>
          <w:tcPr>
            <w:tcW w:w="713" w:type="pct"/>
            <w:tcBorders>
              <w:top w:val="nil"/>
              <w:left w:val="nil"/>
              <w:bottom w:val="nil"/>
              <w:right w:val="nil"/>
            </w:tcBorders>
            <w:shd w:val="clear"/>
            <w:vAlign w:val="center"/>
          </w:tcPr>
          <w:p w14:paraId="6DD4D38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7.73</w:t>
            </w:r>
          </w:p>
        </w:tc>
        <w:tc>
          <w:tcPr>
            <w:tcW w:w="713" w:type="pct"/>
            <w:tcBorders>
              <w:top w:val="nil"/>
              <w:left w:val="nil"/>
              <w:bottom w:val="nil"/>
              <w:right w:val="nil"/>
            </w:tcBorders>
            <w:shd w:val="clear"/>
            <w:vAlign w:val="center"/>
          </w:tcPr>
          <w:p w14:paraId="2C01EF9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&lt;0.001</w:t>
            </w:r>
          </w:p>
        </w:tc>
        <w:tc>
          <w:tcPr>
            <w:tcW w:w="1259" w:type="pct"/>
            <w:tcBorders>
              <w:top w:val="nil"/>
              <w:left w:val="nil"/>
              <w:bottom w:val="nil"/>
              <w:right w:val="nil"/>
            </w:tcBorders>
            <w:shd w:val="clear"/>
            <w:vAlign w:val="center"/>
          </w:tcPr>
          <w:p w14:paraId="5B7CA52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[395.60, 664.16]</w:t>
            </w:r>
          </w:p>
        </w:tc>
      </w:tr>
      <w:tr w14:paraId="141C0BC1">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54" w:hRule="atLeast"/>
        </w:trPr>
        <w:tc>
          <w:tcPr>
            <w:tcW w:w="944" w:type="pct"/>
            <w:tcBorders>
              <w:top w:val="nil"/>
              <w:left w:val="nil"/>
              <w:bottom w:val="nil"/>
              <w:right w:val="nil"/>
            </w:tcBorders>
            <w:shd w:val="clear"/>
            <w:vAlign w:val="center"/>
          </w:tcPr>
          <w:p w14:paraId="17AD40A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bp</w:t>
            </w:r>
          </w:p>
        </w:tc>
        <w:tc>
          <w:tcPr>
            <w:tcW w:w="715" w:type="pct"/>
            <w:tcBorders>
              <w:top w:val="nil"/>
              <w:left w:val="nil"/>
              <w:bottom w:val="nil"/>
              <w:right w:val="nil"/>
            </w:tcBorders>
            <w:shd w:val="clear"/>
            <w:vAlign w:val="center"/>
          </w:tcPr>
          <w:p w14:paraId="60886A8B">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327.22</w:t>
            </w:r>
          </w:p>
        </w:tc>
        <w:tc>
          <w:tcPr>
            <w:tcW w:w="653" w:type="pct"/>
            <w:tcBorders>
              <w:top w:val="nil"/>
              <w:left w:val="nil"/>
              <w:bottom w:val="nil"/>
              <w:right w:val="nil"/>
            </w:tcBorders>
            <w:shd w:val="clear"/>
            <w:vAlign w:val="center"/>
          </w:tcPr>
          <w:p w14:paraId="2761A2D4">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65.89</w:t>
            </w:r>
          </w:p>
        </w:tc>
        <w:tc>
          <w:tcPr>
            <w:tcW w:w="713" w:type="pct"/>
            <w:tcBorders>
              <w:top w:val="nil"/>
              <w:left w:val="nil"/>
              <w:bottom w:val="nil"/>
              <w:right w:val="nil"/>
            </w:tcBorders>
            <w:shd w:val="clear"/>
            <w:vAlign w:val="center"/>
          </w:tcPr>
          <w:p w14:paraId="7253B0E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4.97</w:t>
            </w:r>
          </w:p>
        </w:tc>
        <w:tc>
          <w:tcPr>
            <w:tcW w:w="713" w:type="pct"/>
            <w:tcBorders>
              <w:top w:val="nil"/>
              <w:left w:val="nil"/>
              <w:bottom w:val="nil"/>
              <w:right w:val="nil"/>
            </w:tcBorders>
            <w:shd w:val="clear"/>
            <w:vAlign w:val="center"/>
          </w:tcPr>
          <w:p w14:paraId="7A93F716">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&lt;0.001</w:t>
            </w:r>
          </w:p>
        </w:tc>
        <w:tc>
          <w:tcPr>
            <w:tcW w:w="1259" w:type="pct"/>
            <w:tcBorders>
              <w:top w:val="nil"/>
              <w:left w:val="nil"/>
              <w:bottom w:val="nil"/>
              <w:right w:val="nil"/>
            </w:tcBorders>
            <w:shd w:val="clear"/>
            <w:vAlign w:val="center"/>
          </w:tcPr>
          <w:p w14:paraId="71B8F2C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[198.07, 456.36]</w:t>
            </w:r>
          </w:p>
        </w:tc>
      </w:tr>
      <w:tr w14:paraId="43FD663D">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54" w:hRule="atLeast"/>
        </w:trPr>
        <w:tc>
          <w:tcPr>
            <w:tcW w:w="944" w:type="pct"/>
            <w:tcBorders>
              <w:top w:val="nil"/>
              <w:left w:val="nil"/>
              <w:bottom w:val="nil"/>
              <w:right w:val="nil"/>
            </w:tcBorders>
            <w:shd w:val="clear"/>
            <w:vAlign w:val="center"/>
          </w:tcPr>
          <w:p w14:paraId="7B578B0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tLeast"/>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s1</w:t>
            </w:r>
          </w:p>
        </w:tc>
        <w:tc>
          <w:tcPr>
            <w:tcW w:w="715" w:type="pct"/>
            <w:tcBorders>
              <w:top w:val="nil"/>
              <w:left w:val="nil"/>
              <w:bottom w:val="nil"/>
              <w:right w:val="nil"/>
            </w:tcBorders>
            <w:shd w:val="clear"/>
            <w:vAlign w:val="center"/>
          </w:tcPr>
          <w:p w14:paraId="5FCC673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tLeast"/>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-757.93</w:t>
            </w:r>
          </w:p>
        </w:tc>
        <w:tc>
          <w:tcPr>
            <w:tcW w:w="653" w:type="pct"/>
            <w:tcBorders>
              <w:top w:val="nil"/>
              <w:left w:val="nil"/>
              <w:bottom w:val="nil"/>
              <w:right w:val="nil"/>
            </w:tcBorders>
            <w:shd w:val="clear"/>
            <w:vAlign w:val="center"/>
          </w:tcPr>
          <w:p w14:paraId="26D1319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tLeast"/>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147.58</w:t>
            </w:r>
          </w:p>
        </w:tc>
        <w:tc>
          <w:tcPr>
            <w:tcW w:w="713" w:type="pct"/>
            <w:tcBorders>
              <w:top w:val="nil"/>
              <w:left w:val="nil"/>
              <w:bottom w:val="nil"/>
              <w:right w:val="nil"/>
            </w:tcBorders>
            <w:shd w:val="clear"/>
            <w:vAlign w:val="center"/>
          </w:tcPr>
          <w:p w14:paraId="64E9892E">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tLeast"/>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-5.14</w:t>
            </w:r>
          </w:p>
        </w:tc>
        <w:tc>
          <w:tcPr>
            <w:tcW w:w="713" w:type="pct"/>
            <w:tcBorders>
              <w:top w:val="nil"/>
              <w:left w:val="nil"/>
              <w:bottom w:val="nil"/>
              <w:right w:val="nil"/>
            </w:tcBorders>
            <w:shd w:val="clear"/>
            <w:vAlign w:val="center"/>
          </w:tcPr>
          <w:p w14:paraId="3E6F7613">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tLeast"/>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&lt;0.001</w:t>
            </w:r>
          </w:p>
        </w:tc>
        <w:tc>
          <w:tcPr>
            <w:tcW w:w="1259" w:type="pct"/>
            <w:tcBorders>
              <w:top w:val="nil"/>
              <w:left w:val="nil"/>
              <w:bottom w:val="nil"/>
              <w:right w:val="nil"/>
            </w:tcBorders>
            <w:shd w:val="clear"/>
            <w:vAlign w:val="center"/>
          </w:tcPr>
          <w:p w14:paraId="3EB3619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tLeast"/>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[-1047.19, -468.67]</w:t>
            </w:r>
          </w:p>
        </w:tc>
      </w:tr>
      <w:tr w14:paraId="61D47F86">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54" w:hRule="atLeast"/>
        </w:trPr>
        <w:tc>
          <w:tcPr>
            <w:tcW w:w="944" w:type="pct"/>
            <w:tcBorders>
              <w:top w:val="nil"/>
              <w:left w:val="nil"/>
              <w:bottom w:val="nil"/>
              <w:right w:val="nil"/>
            </w:tcBorders>
            <w:shd w:val="clear"/>
            <w:vAlign w:val="center"/>
          </w:tcPr>
          <w:p w14:paraId="040602C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s2</w:t>
            </w:r>
          </w:p>
        </w:tc>
        <w:tc>
          <w:tcPr>
            <w:tcW w:w="715" w:type="pct"/>
            <w:tcBorders>
              <w:top w:val="nil"/>
              <w:left w:val="nil"/>
              <w:bottom w:val="nil"/>
              <w:right w:val="nil"/>
            </w:tcBorders>
            <w:shd w:val="clear"/>
            <w:vAlign w:val="center"/>
          </w:tcPr>
          <w:p w14:paraId="5DF541BD">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538.58</w:t>
            </w:r>
          </w:p>
        </w:tc>
        <w:tc>
          <w:tcPr>
            <w:tcW w:w="653" w:type="pct"/>
            <w:tcBorders>
              <w:top w:val="nil"/>
              <w:left w:val="nil"/>
              <w:bottom w:val="nil"/>
              <w:right w:val="nil"/>
            </w:tcBorders>
            <w:shd w:val="clear"/>
            <w:vAlign w:val="center"/>
          </w:tcPr>
          <w:p w14:paraId="42DECA22">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139.78</w:t>
            </w:r>
          </w:p>
        </w:tc>
        <w:tc>
          <w:tcPr>
            <w:tcW w:w="713" w:type="pct"/>
            <w:tcBorders>
              <w:top w:val="nil"/>
              <w:left w:val="nil"/>
              <w:bottom w:val="nil"/>
              <w:right w:val="nil"/>
            </w:tcBorders>
            <w:shd w:val="clear"/>
            <w:vAlign w:val="center"/>
          </w:tcPr>
          <w:p w14:paraId="45A27B2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3.85</w:t>
            </w:r>
          </w:p>
        </w:tc>
        <w:tc>
          <w:tcPr>
            <w:tcW w:w="713" w:type="pct"/>
            <w:tcBorders>
              <w:top w:val="nil"/>
              <w:left w:val="nil"/>
              <w:bottom w:val="nil"/>
              <w:right w:val="nil"/>
            </w:tcBorders>
            <w:shd w:val="clear"/>
            <w:vAlign w:val="center"/>
          </w:tcPr>
          <w:p w14:paraId="1AD2A675">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&lt;0.001</w:t>
            </w:r>
          </w:p>
        </w:tc>
        <w:tc>
          <w:tcPr>
            <w:tcW w:w="1259" w:type="pct"/>
            <w:tcBorders>
              <w:top w:val="nil"/>
              <w:left w:val="nil"/>
              <w:bottom w:val="nil"/>
              <w:right w:val="nil"/>
            </w:tcBorders>
            <w:shd w:val="clear"/>
            <w:vAlign w:val="center"/>
          </w:tcPr>
          <w:p w14:paraId="4BAFF629">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[264.62, 812.54]</w:t>
            </w:r>
          </w:p>
        </w:tc>
      </w:tr>
      <w:tr w14:paraId="24F44B07">
        <w:tblPrEx>
          <w:tblBorders>
            <w:top w:val="single" w:color="auto" w:sz="12" w:space="0"/>
            <w:left w:val="none" w:color="auto" w:sz="6" w:space="0"/>
            <w:bottom w:val="single" w:color="auto" w:sz="12" w:space="0"/>
            <w:right w:val="none" w:color="auto" w:sz="6" w:space="0"/>
            <w:insideH w:val="outset" w:color="auto" w:sz="6" w:space="0"/>
            <w:insideV w:val="outset" w:color="auto" w:sz="6" w:space="0"/>
          </w:tblBorders>
          <w:tblCellMar>
            <w:top w:w="0" w:type="dxa"/>
            <w:left w:w="108" w:type="dxa"/>
            <w:bottom w:w="0" w:type="dxa"/>
            <w:right w:w="108" w:type="dxa"/>
          </w:tblCellMar>
        </w:tblPrEx>
        <w:trPr>
          <w:trHeight w:val="454" w:hRule="atLeast"/>
        </w:trPr>
        <w:tc>
          <w:tcPr>
            <w:tcW w:w="944" w:type="pct"/>
            <w:tcBorders>
              <w:top w:val="nil"/>
              <w:left w:val="nil"/>
              <w:bottom w:val="single" w:color="auto" w:sz="12" w:space="0"/>
              <w:right w:val="nil"/>
            </w:tcBorders>
            <w:shd w:val="clear"/>
            <w:vAlign w:val="center"/>
          </w:tcPr>
          <w:p w14:paraId="57344491">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b/>
                <w:bCs/>
                <w:sz w:val="24"/>
                <w:szCs w:val="24"/>
                <w:bdr w:val="none" w:color="auto" w:sz="0" w:space="0"/>
                <w:lang w:val="en-US"/>
              </w:rPr>
            </w:pPr>
            <w:r>
              <w:rPr>
                <w:rFonts w:hint="default" w:ascii="Times New Roman" w:hAnsi="Times New Roman" w:eastAsia="宋体" w:cs="Times New Roman"/>
                <w:b/>
                <w:bCs/>
                <w:color w:val="000000"/>
                <w:kern w:val="0"/>
                <w:sz w:val="24"/>
                <w:szCs w:val="24"/>
                <w:bdr w:val="none" w:color="auto" w:sz="0" w:space="0"/>
                <w:lang w:val="en-US" w:eastAsia="zh-CN" w:bidi="ar"/>
              </w:rPr>
              <w:t>s5</w:t>
            </w:r>
          </w:p>
        </w:tc>
        <w:tc>
          <w:tcPr>
            <w:tcW w:w="715" w:type="pct"/>
            <w:tcBorders>
              <w:top w:val="nil"/>
              <w:left w:val="nil"/>
              <w:bottom w:val="single" w:color="auto" w:sz="12" w:space="0"/>
              <w:right w:val="nil"/>
            </w:tcBorders>
            <w:shd w:val="clear"/>
            <w:vAlign w:val="center"/>
          </w:tcPr>
          <w:p w14:paraId="64E77337">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804.19</w:t>
            </w:r>
          </w:p>
        </w:tc>
        <w:tc>
          <w:tcPr>
            <w:tcW w:w="653" w:type="pct"/>
            <w:tcBorders>
              <w:top w:val="nil"/>
              <w:left w:val="nil"/>
              <w:bottom w:val="single" w:color="auto" w:sz="12" w:space="0"/>
              <w:right w:val="nil"/>
            </w:tcBorders>
            <w:shd w:val="clear"/>
            <w:vAlign w:val="center"/>
          </w:tcPr>
          <w:p w14:paraId="5C2CBE8C">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75.00</w:t>
            </w:r>
          </w:p>
        </w:tc>
        <w:tc>
          <w:tcPr>
            <w:tcW w:w="713" w:type="pct"/>
            <w:tcBorders>
              <w:top w:val="nil"/>
              <w:left w:val="nil"/>
              <w:bottom w:val="single" w:color="auto" w:sz="12" w:space="0"/>
              <w:right w:val="nil"/>
            </w:tcBorders>
            <w:shd w:val="clear"/>
            <w:vAlign w:val="center"/>
          </w:tcPr>
          <w:p w14:paraId="166C7558">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10.72</w:t>
            </w:r>
          </w:p>
        </w:tc>
        <w:tc>
          <w:tcPr>
            <w:tcW w:w="713" w:type="pct"/>
            <w:tcBorders>
              <w:top w:val="nil"/>
              <w:left w:val="nil"/>
              <w:bottom w:val="single" w:color="auto" w:sz="12" w:space="0"/>
              <w:right w:val="nil"/>
            </w:tcBorders>
            <w:shd w:val="clear"/>
            <w:vAlign w:val="center"/>
          </w:tcPr>
          <w:p w14:paraId="71389FC0">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&lt;0.001</w:t>
            </w:r>
          </w:p>
        </w:tc>
        <w:tc>
          <w:tcPr>
            <w:tcW w:w="1259" w:type="pct"/>
            <w:tcBorders>
              <w:top w:val="nil"/>
              <w:left w:val="nil"/>
              <w:bottom w:val="single" w:color="auto" w:sz="12" w:space="0"/>
              <w:right w:val="nil"/>
            </w:tcBorders>
            <w:shd w:val="clear"/>
            <w:vAlign w:val="center"/>
          </w:tcPr>
          <w:p w14:paraId="331465DF">
            <w:pPr>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Times New Roman" w:hAnsi="Times New Roman" w:cs="Times New Roman"/>
                <w:sz w:val="24"/>
                <w:szCs w:val="24"/>
                <w:bdr w:val="none" w:color="auto" w:sz="0" w:space="0"/>
                <w:lang w:val="en-US"/>
              </w:rPr>
            </w:pPr>
            <w:r>
              <w:rPr>
                <w:rFonts w:hint="default" w:ascii="Times New Roman" w:hAnsi="Times New Roman" w:eastAsia="宋体" w:cs="Times New Roman"/>
                <w:color w:val="000000"/>
                <w:kern w:val="0"/>
                <w:sz w:val="24"/>
                <w:szCs w:val="24"/>
                <w:bdr w:val="none" w:color="auto" w:sz="0" w:space="0"/>
                <w:lang w:val="en-US" w:eastAsia="zh-CN" w:bidi="ar"/>
              </w:rPr>
              <w:t>[657.19, 951.18]</w:t>
            </w:r>
          </w:p>
        </w:tc>
      </w:tr>
    </w:tbl>
    <w:p w14:paraId="6C47B000">
      <w:pPr>
        <w:keepNext w:val="0"/>
        <w:keepLines w:val="0"/>
        <w:pageBreakBefore w:val="0"/>
        <w:widowControl w:val="0"/>
        <w:kinsoku/>
        <w:wordWrap/>
        <w:overflowPunct/>
        <w:topLinePunct w:val="0"/>
        <w:autoSpaceDE/>
        <w:autoSpaceDN/>
        <w:bidi w:val="0"/>
        <w:adjustRightInd/>
        <w:snapToGrid/>
        <w:spacing w:before="157" w:beforeLines="50"/>
        <w:ind w:firstLine="480" w:firstLineChars="200"/>
        <w:textAlignment w:val="auto"/>
        <w:rPr>
          <w:rFonts w:hint="eastAsia" w:asciiTheme="minorHAnsi" w:hAnsiTheme="minorHAnsi" w:cstheme="minorHAnsi"/>
          <w:szCs w:val="24"/>
          <w:lang w:val="en-US" w:eastAsia="zh-CN"/>
        </w:rPr>
      </w:pPr>
      <w:r>
        <w:rPr>
          <w:rFonts w:hint="eastAsia" w:asciiTheme="minorHAnsi" w:hAnsiTheme="minorHAnsi" w:cstheme="minorHAnsi"/>
          <w:szCs w:val="24"/>
          <w:lang w:val="en-US" w:eastAsia="zh-CN"/>
        </w:rPr>
        <w:t>表3结果显示，拟合效果在单变量显著性角度上十分显著，每个变量的t检验都拒绝了原假设，显著不为0，虽R方并没有显著变化，但从该角度仍可说明：相较于全模型ols，最终模型的拟合效果有所提升。</w:t>
      </w:r>
    </w:p>
    <w:p w14:paraId="37EA0E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HAnsi" w:hAnsiTheme="minorHAnsi" w:cstheme="minorHAnsi"/>
          <w:szCs w:val="24"/>
          <w:lang w:val="en-US" w:eastAsia="zh-CN"/>
        </w:rPr>
      </w:pPr>
      <w:r>
        <w:rPr>
          <w:rFonts w:hint="eastAsia" w:asciiTheme="minorHAnsi" w:hAnsiTheme="minorHAnsi" w:cstheme="minorHAnsi"/>
          <w:szCs w:val="24"/>
          <w:lang w:val="en-US" w:eastAsia="zh-CN"/>
        </w:rPr>
        <w:t>对于最终模型的残差分析本文选择用残差图的形式，最终模型的残差图如图2所示：</w:t>
      </w:r>
    </w:p>
    <w:p w14:paraId="6154A9B2">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4840605" cy="2534285"/>
            <wp:effectExtent l="0" t="0" r="17145"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4840605" cy="2534285"/>
                    </a:xfrm>
                    <a:prstGeom prst="rect">
                      <a:avLst/>
                    </a:prstGeom>
                    <a:noFill/>
                    <a:ln>
                      <a:noFill/>
                    </a:ln>
                  </pic:spPr>
                </pic:pic>
              </a:graphicData>
            </a:graphic>
          </wp:inline>
        </w:drawing>
      </w:r>
    </w:p>
    <w:p w14:paraId="66865DA0">
      <w:pPr>
        <w:keepNext w:val="0"/>
        <w:keepLines w:val="0"/>
        <w:pageBreakBefore w:val="0"/>
        <w:widowControl w:val="0"/>
        <w:kinsoku/>
        <w:wordWrap/>
        <w:overflowPunct/>
        <w:topLinePunct w:val="0"/>
        <w:autoSpaceDE/>
        <w:autoSpaceDN/>
        <w:bidi w:val="0"/>
        <w:adjustRightInd/>
        <w:snapToGrid/>
        <w:spacing w:line="240" w:lineRule="auto"/>
        <w:ind w:firstLine="422" w:firstLineChars="200"/>
        <w:jc w:val="center"/>
        <w:textAlignment w:val="auto"/>
        <w:rPr>
          <w:rFonts w:hint="eastAsia"/>
          <w:b/>
          <w:bCs/>
          <w:sz w:val="21"/>
          <w:szCs w:val="21"/>
          <w:lang w:val="en-US" w:eastAsia="zh-CN"/>
        </w:rPr>
      </w:pPr>
      <w:r>
        <w:rPr>
          <w:rFonts w:hint="eastAsia"/>
          <w:b/>
          <w:bCs/>
          <w:sz w:val="21"/>
          <w:szCs w:val="21"/>
          <w:lang w:val="en-US" w:eastAsia="zh-CN"/>
        </w:rPr>
        <w:t>图2：最终模型残差图</w:t>
      </w:r>
    </w:p>
    <w:p w14:paraId="75C1953C">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图2结果显示</w:t>
      </w:r>
      <w:r>
        <w:t>，</w:t>
      </w:r>
      <w:r>
        <w:rPr>
          <w:rFonts w:hint="eastAsia"/>
        </w:rPr>
        <w:t>残差点整体围绕 y=0 的水平参考线随机分布，无明显的系统性趋势或曲线聚集特征，表明经 HC3 修正后，模型线性拟合结构具备良好的合理性，能够充分捕捉自变量与因变量间的线性关联。同时，残差分布未呈现出规律性的方差波动模式，体现出 HC3 稳健标准误有效克服了异方差带来的影响，使得残差满足回归模型的同方差假设要求。</w:t>
      </w:r>
    </w:p>
    <w:p w14:paraId="2D08687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lang w:val="en-US" w:eastAsia="zh-CN"/>
        </w:rPr>
      </w:pPr>
      <w:r>
        <w:rPr>
          <w:rFonts w:hint="eastAsia"/>
        </w:rPr>
        <w:t>此外，残差点无大规模偏离基准线的极端异常聚集现象，仅少量极端残差点经核查为真实样本特征的客观体现，未对模型整体拟合效果产生干扰，进一步证明修正后的模型在保留数据真实特征的前提下，具备稳定的统计推断可靠性</w:t>
      </w:r>
      <w:r>
        <w:rPr>
          <w:rFonts w:hint="eastAsia"/>
          <w:lang w:eastAsia="zh-CN"/>
        </w:rPr>
        <w:t>。</w:t>
      </w:r>
    </w:p>
    <w:p w14:paraId="6341B392">
      <w:pPr>
        <w:pStyle w:val="3"/>
        <w:numPr>
          <w:ilvl w:val="1"/>
          <w:numId w:val="1"/>
        </w:numPr>
      </w:pPr>
      <w:bookmarkStart w:id="14" w:name="_Toc32684"/>
      <w:r>
        <w:rPr>
          <w:rFonts w:hint="eastAsia"/>
          <w:lang w:val="en-US" w:eastAsia="zh-CN"/>
        </w:rPr>
        <w:t>稳健性检验</w:t>
      </w:r>
      <w:bookmarkEnd w:id="14"/>
    </w:p>
    <w:p w14:paraId="7BB0A2B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为了验证逐步回归结果的稳健性，本研究采用了Lasso回归。与逐步回归的硬性剔除不同，Lasso通过引入惩罚项将不重要的变量系数压缩至零，从而在处理高维共线性数据时更为稳健。通过5折交叉验证确定的最优</w:t>
      </w:r>
      <w:r>
        <w:rPr>
          <w:rFonts w:hint="eastAsia"/>
          <w:lang w:val="en-US" w:eastAsia="zh-CN"/>
        </w:rPr>
        <w:t xml:space="preserve">lambda </w:t>
      </w:r>
      <w:r>
        <w:rPr>
          <w:rFonts w:hint="eastAsia"/>
        </w:rPr>
        <w:t>(alpha=0.0038)，Lasso回归结果显示：</w:t>
      </w:r>
    </w:p>
    <w:p w14:paraId="1B7740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lang w:val="en-US" w:eastAsia="zh-CN"/>
        </w:rPr>
        <w:t>Lasso只剔除了s3，保留了其他变量，这要从两个角度上去分析，第一点是一致性验证，Lasso选择的变量包含了逐步回归中的核心变量，这为本文逐步回归变量选择的结果带来了很强的稳健性，对于变量选择的差异，这表明这些变量虽不是核心驱动力，但仍含有少量预测信息，在逐步回归中进行忽略。</w:t>
      </w:r>
    </w:p>
    <w:p w14:paraId="40F5D79F">
      <w:pPr>
        <w:pStyle w:val="3"/>
        <w:numPr>
          <w:ilvl w:val="1"/>
          <w:numId w:val="1"/>
        </w:numPr>
        <w:rPr>
          <w:rFonts w:hint="eastAsia" w:asciiTheme="minorHAnsi" w:hAnsiTheme="minorHAnsi" w:cstheme="minorHAnsi"/>
          <w:szCs w:val="24"/>
        </w:rPr>
      </w:pPr>
      <w:bookmarkStart w:id="15" w:name="_Toc21106"/>
      <w:r>
        <w:rPr>
          <w:rFonts w:hint="eastAsia" w:asciiTheme="minorHAnsi" w:hAnsiTheme="minorHAnsi" w:cstheme="minorHAnsi"/>
          <w:szCs w:val="24"/>
          <w:lang w:val="en-US" w:eastAsia="zh-CN"/>
        </w:rPr>
        <w:t>交互效应分析</w:t>
      </w:r>
      <w:bookmarkEnd w:id="15"/>
    </w:p>
    <w:p w14:paraId="60682B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t>鉴于 BMI 是最强的预测因子之一，本研究进一步探究了其效应是否受性别因素的调节。在模型中引入BMI</w:t>
      </w:r>
      <w:r>
        <w:rPr>
          <w:rFonts w:hint="eastAsia"/>
          <w:lang w:val="en-US" w:eastAsia="zh-CN"/>
        </w:rPr>
        <w:t xml:space="preserve"> </w:t>
      </w:r>
      <w:r>
        <w:rPr>
          <w:rFonts w:hint="default" w:ascii="Arial" w:hAnsi="Arial" w:cs="Arial"/>
          <w:lang w:val="en-US" w:eastAsia="zh-CN"/>
        </w:rPr>
        <w:t>×</w:t>
      </w:r>
      <w:r>
        <w:t xml:space="preserve"> Sex交互项后，</w:t>
      </w:r>
      <w:r>
        <w:rPr>
          <w:rFonts w:hint="eastAsia"/>
          <w:lang w:val="en-US" w:eastAsia="zh-CN"/>
        </w:rPr>
        <w:t>全部拟合结果见附录C。</w:t>
      </w:r>
    </w:p>
    <w:p w14:paraId="43C388E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结果显示整体显著（F=94.08, p&lt;0.001），R方为0.521，调整后的R方为0.514，相较最终模型有着微弱的提升，本文在这一部分主要关注</w:t>
      </w:r>
      <w:r>
        <w:t>BMI</w:t>
      </w:r>
      <w:r>
        <w:rPr>
          <w:rFonts w:hint="eastAsia"/>
          <w:lang w:val="en-US" w:eastAsia="zh-CN"/>
        </w:rPr>
        <w:t xml:space="preserve"> </w:t>
      </w:r>
      <w:r>
        <w:rPr>
          <w:rFonts w:hint="default"/>
          <w:lang w:val="en-US" w:eastAsia="zh-CN"/>
        </w:rPr>
        <w:t>×</w:t>
      </w:r>
      <w:r>
        <w:t xml:space="preserve"> Sex</w:t>
      </w:r>
      <w:r>
        <w:rPr>
          <w:rFonts w:hint="eastAsia"/>
          <w:lang w:val="en-US" w:eastAsia="zh-CN"/>
        </w:rPr>
        <w:t>交互项的信息，</w:t>
      </w:r>
      <w:r>
        <w:t>BMI</w:t>
      </w:r>
      <w:r>
        <w:rPr>
          <w:rFonts w:hint="eastAsia"/>
          <w:lang w:val="en-US" w:eastAsia="zh-CN"/>
        </w:rPr>
        <w:t xml:space="preserve"> </w:t>
      </w:r>
      <w:r>
        <w:rPr>
          <w:rFonts w:hint="default"/>
          <w:lang w:val="en-US" w:eastAsia="zh-CN"/>
        </w:rPr>
        <w:t>×</w:t>
      </w:r>
      <w:r>
        <w:t xml:space="preserve"> Sex</w:t>
      </w:r>
      <w:r>
        <w:rPr>
          <w:rFonts w:hint="eastAsia"/>
          <w:lang w:val="en-US" w:eastAsia="zh-CN"/>
        </w:rPr>
        <w:t>交互项拟合系数为</w:t>
      </w:r>
      <w:r>
        <w:rPr>
          <w:rFonts w:hint="default"/>
        </w:rPr>
        <w:t>2795</w:t>
      </w:r>
      <w:r>
        <w:rPr>
          <w:rFonts w:hint="default"/>
          <w:lang w:val="en-US" w:eastAsia="zh-CN"/>
        </w:rPr>
        <w:t>.15</w:t>
      </w:r>
      <w:r>
        <w:rPr>
          <w:rFonts w:hint="eastAsia"/>
          <w:lang w:val="en-US" w:eastAsia="zh-CN"/>
        </w:rPr>
        <w:t>，单变量t检验p值为0.011，这一显著的交互效应表明，BMI 对疾病进展的正向促进作用在不同性别间是不均等的。具体而言，肥胖对于某一性别（数据编码为正值的组别）患者疾病恶化的推动作用，显著强于另一性别。这一发现揭示了疾病机制的复杂性，即生理风险因素（BMI）的效果依赖于人口学特征（Sex）。</w:t>
      </w:r>
    </w:p>
    <w:p w14:paraId="5EC796D8">
      <w:pPr>
        <w:pStyle w:val="2"/>
        <w:numPr>
          <w:ilvl w:val="0"/>
          <w:numId w:val="1"/>
        </w:numPr>
      </w:pPr>
      <w:bookmarkStart w:id="16" w:name="_Toc9500"/>
      <w:r>
        <w:rPr>
          <w:rFonts w:hint="eastAsia"/>
          <w:lang w:val="en-US" w:eastAsia="zh-CN"/>
        </w:rPr>
        <w:t>讨论</w:t>
      </w:r>
      <w:bookmarkEnd w:id="16"/>
    </w:p>
    <w:p w14:paraId="7F7E5E7B">
      <w:pPr>
        <w:pStyle w:val="3"/>
        <w:bidi w:val="0"/>
      </w:pPr>
      <w:bookmarkStart w:id="17" w:name="_Toc12060"/>
      <w:r>
        <w:rPr>
          <w:rFonts w:hint="eastAsia"/>
          <w:lang w:val="en-US" w:eastAsia="zh-CN"/>
        </w:rPr>
        <w:t>4</w:t>
      </w:r>
      <w:r>
        <w:t>.1 生物标志物的“抑制效应”</w:t>
      </w:r>
      <w:bookmarkEnd w:id="17"/>
    </w:p>
    <w:p w14:paraId="79D05612">
      <w:pPr>
        <w:keepNext w:val="0"/>
        <w:keepLines w:val="0"/>
        <w:pageBreakBefore w:val="0"/>
        <w:widowControl w:val="0"/>
        <w:kinsoku/>
        <w:wordWrap/>
        <w:overflowPunct/>
        <w:topLinePunct w:val="0"/>
        <w:autoSpaceDE/>
        <w:autoSpaceDN/>
        <w:bidi w:val="0"/>
        <w:adjustRightInd/>
        <w:snapToGrid/>
        <w:ind w:firstLine="480" w:firstLineChars="200"/>
        <w:textAlignment w:val="auto"/>
      </w:pPr>
      <w:r>
        <w:t>虽然 S1 (总胆固醇) 和 S2 (LDL) 高度相关，但最终模型同时保留了它们，且 S1 系数为负，S2 系数为正。统计学上，这构成了典型的抑制变量 (Suppressor Variable) 现象。S1 可能通过剔除 S2 中与疾病无关的变异部分，从而提纯了 S2 对疾病进展的解释力。因此，单纯基于单变量相关性剔除 S1 是不恰当的。</w:t>
      </w:r>
    </w:p>
    <w:p w14:paraId="3BA9EF6F">
      <w:pPr>
        <w:pStyle w:val="3"/>
        <w:bidi w:val="0"/>
      </w:pPr>
      <w:bookmarkStart w:id="18" w:name="_Toc8792"/>
      <w:r>
        <w:rPr>
          <w:rFonts w:hint="eastAsia"/>
          <w:lang w:val="en-US" w:eastAsia="zh-CN"/>
        </w:rPr>
        <w:t>4</w:t>
      </w:r>
      <w:r>
        <w:t>.2 核心驱动因子：S5 与 BMI</w:t>
      </w:r>
      <w:bookmarkEnd w:id="18"/>
    </w:p>
    <w:p w14:paraId="5C9288D2">
      <w:pPr>
        <w:keepNext w:val="0"/>
        <w:keepLines w:val="0"/>
        <w:pageBreakBefore w:val="0"/>
        <w:widowControl w:val="0"/>
        <w:kinsoku/>
        <w:wordWrap/>
        <w:overflowPunct/>
        <w:topLinePunct w:val="0"/>
        <w:autoSpaceDE/>
        <w:autoSpaceDN/>
        <w:bidi w:val="0"/>
        <w:adjustRightInd/>
        <w:snapToGrid/>
        <w:ind w:firstLine="480" w:firstLineChars="200"/>
        <w:textAlignment w:val="auto"/>
      </w:pPr>
      <w:r>
        <w:t>S5在所有模型中均表现出极高的显著性和最大的效应值。结合 BMI 的强预测力，本研究强有力地支持了“代谢综合征（高甘油三酯+肥胖）是糖尿病恶化核心推手”的病理假说。</w:t>
      </w:r>
    </w:p>
    <w:p w14:paraId="05AE206C">
      <w:pPr>
        <w:pStyle w:val="3"/>
        <w:bidi w:val="0"/>
      </w:pPr>
      <w:bookmarkStart w:id="19" w:name="_Toc3937"/>
      <w:r>
        <w:rPr>
          <w:rFonts w:hint="eastAsia"/>
          <w:lang w:val="en-US" w:eastAsia="zh-CN"/>
        </w:rPr>
        <w:t>4</w:t>
      </w:r>
      <w:r>
        <w:t>.3 临床启示：性别特异性干预</w:t>
      </w:r>
      <w:bookmarkEnd w:id="19"/>
    </w:p>
    <w:p w14:paraId="4683E0FC">
      <w:pPr>
        <w:keepNext w:val="0"/>
        <w:keepLines w:val="0"/>
        <w:pageBreakBefore w:val="0"/>
        <w:widowControl w:val="0"/>
        <w:kinsoku/>
        <w:wordWrap/>
        <w:overflowPunct/>
        <w:topLinePunct w:val="0"/>
        <w:autoSpaceDE/>
        <w:autoSpaceDN/>
        <w:bidi w:val="0"/>
        <w:adjustRightInd/>
        <w:snapToGrid/>
        <w:ind w:firstLine="480" w:firstLineChars="200"/>
        <w:textAlignment w:val="auto"/>
      </w:pPr>
      <w:r>
        <w:t>交互效应分析的结果具有重要的临床转化意义。既然肥胖对疾病进展的影响受到性别的显著调节，临床医生在制定体重管理方案时应考虑性别差异。对于受肥胖影响更为敏感的性别群体，控制体重带来的疾病缓解收益可能比预期更高，因此应采取更为激进的体重干预策略。</w:t>
      </w:r>
    </w:p>
    <w:p w14:paraId="31D85073">
      <w:pPr>
        <w:pStyle w:val="2"/>
        <w:numPr>
          <w:ilvl w:val="0"/>
          <w:numId w:val="1"/>
        </w:numPr>
      </w:pPr>
      <w:bookmarkStart w:id="20" w:name="_Toc17600"/>
      <w:r>
        <w:rPr>
          <w:rFonts w:hint="eastAsia"/>
          <w:lang w:val="en-US" w:eastAsia="zh-CN"/>
        </w:rPr>
        <w:t>结论</w:t>
      </w:r>
      <w:bookmarkEnd w:id="20"/>
    </w:p>
    <w:p w14:paraId="26286D78">
      <w:pPr>
        <w:keepNext w:val="0"/>
        <w:keepLines w:val="0"/>
        <w:pageBreakBefore w:val="0"/>
        <w:widowControl w:val="0"/>
        <w:kinsoku/>
        <w:wordWrap/>
        <w:overflowPunct/>
        <w:topLinePunct w:val="0"/>
        <w:autoSpaceDE/>
        <w:autoSpaceDN/>
        <w:bidi w:val="0"/>
        <w:adjustRightInd/>
        <w:snapToGrid/>
        <w:ind w:firstLine="480" w:firstLineChars="200"/>
        <w:textAlignment w:val="auto"/>
      </w:pPr>
      <w:r>
        <w:t>本研究通过构建稳健的多元回归框架，克服了糖尿病数据集中固有的多重共线性与异方差挑战。研究确立了以 S5 (甘油三酯) 和 BMI 为首的六大核心生物标志物。更重要的是，通过交互效应分析，我们首次揭示了性别在“肥胖-疾病进展”关系中的调节作用。该结果建议临床实践中应重点关注高甘油三酯合并肥胖的患者群体，并依据性别制定差异化的预后评估与干预方案。</w:t>
      </w:r>
    </w:p>
    <w:p w14:paraId="721B19EA">
      <w:pPr>
        <w:pStyle w:val="2"/>
        <w:numPr>
          <w:ilvl w:val="0"/>
          <w:numId w:val="1"/>
        </w:numPr>
      </w:pPr>
      <w:bookmarkStart w:id="21" w:name="_Toc32033"/>
      <w:r>
        <w:rPr>
          <w:rFonts w:hint="eastAsia"/>
          <w:lang w:val="en-US" w:eastAsia="zh-CN"/>
        </w:rPr>
        <w:t>附录</w:t>
      </w:r>
      <w:bookmarkEnd w:id="21"/>
    </w:p>
    <w:p w14:paraId="4AE2128A">
      <w:pPr>
        <w:pStyle w:val="3"/>
        <w:numPr>
          <w:ilvl w:val="0"/>
          <w:numId w:val="2"/>
        </w:numPr>
        <w:bidi w:val="0"/>
        <w:rPr>
          <w:rFonts w:hint="default"/>
          <w:lang w:val="en-US" w:eastAsia="zh-CN"/>
        </w:rPr>
      </w:pPr>
      <w:bookmarkStart w:id="22" w:name="_Toc8367"/>
      <w:r>
        <w:rPr>
          <w:rFonts w:hint="eastAsia"/>
          <w:lang w:val="en-US" w:eastAsia="zh-CN"/>
        </w:rPr>
        <w:t>全变量OLS结果</w:t>
      </w:r>
      <w:bookmarkEnd w:id="22"/>
    </w:p>
    <w:p w14:paraId="23EBA129">
      <w:pPr>
        <w:numPr>
          <w:numId w:val="0"/>
        </w:numPr>
        <w:spacing w:line="240" w:lineRule="auto"/>
        <w:jc w:val="center"/>
        <w:rPr>
          <w:rFonts w:hint="default"/>
          <w:lang w:val="en-US" w:eastAsia="zh-CN"/>
        </w:rPr>
      </w:pPr>
      <w:r>
        <w:drawing>
          <wp:inline distT="0" distB="0" distL="114300" distR="114300">
            <wp:extent cx="3587750" cy="2948940"/>
            <wp:effectExtent l="0" t="0" r="1270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3587750" cy="2948940"/>
                    </a:xfrm>
                    <a:prstGeom prst="rect">
                      <a:avLst/>
                    </a:prstGeom>
                    <a:noFill/>
                    <a:ln>
                      <a:noFill/>
                    </a:ln>
                  </pic:spPr>
                </pic:pic>
              </a:graphicData>
            </a:graphic>
          </wp:inline>
        </w:drawing>
      </w:r>
    </w:p>
    <w:p w14:paraId="069E8197">
      <w:pPr>
        <w:pStyle w:val="3"/>
        <w:numPr>
          <w:ilvl w:val="0"/>
          <w:numId w:val="2"/>
        </w:numPr>
        <w:bidi w:val="0"/>
        <w:rPr>
          <w:rFonts w:hint="default"/>
          <w:lang w:val="en-US" w:eastAsia="zh-CN"/>
        </w:rPr>
      </w:pPr>
      <w:bookmarkStart w:id="23" w:name="_Toc3427"/>
      <w:r>
        <w:rPr>
          <w:rFonts w:hint="eastAsia"/>
          <w:lang w:val="en-US" w:eastAsia="zh-CN"/>
        </w:rPr>
        <w:t>最终模型OLS结果</w:t>
      </w:r>
      <w:bookmarkEnd w:id="23"/>
    </w:p>
    <w:p w14:paraId="6D1245D6">
      <w:pPr>
        <w:numPr>
          <w:numId w:val="0"/>
        </w:numPr>
        <w:spacing w:line="240" w:lineRule="auto"/>
        <w:jc w:val="center"/>
      </w:pPr>
      <w:r>
        <w:drawing>
          <wp:inline distT="0" distB="0" distL="114300" distR="114300">
            <wp:extent cx="3584575" cy="2900045"/>
            <wp:effectExtent l="0" t="0" r="15875" b="1460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6"/>
                    <a:stretch>
                      <a:fillRect/>
                    </a:stretch>
                  </pic:blipFill>
                  <pic:spPr>
                    <a:xfrm>
                      <a:off x="0" y="0"/>
                      <a:ext cx="3584575" cy="2900045"/>
                    </a:xfrm>
                    <a:prstGeom prst="rect">
                      <a:avLst/>
                    </a:prstGeom>
                    <a:noFill/>
                    <a:ln>
                      <a:noFill/>
                    </a:ln>
                  </pic:spPr>
                </pic:pic>
              </a:graphicData>
            </a:graphic>
          </wp:inline>
        </w:drawing>
      </w:r>
    </w:p>
    <w:p w14:paraId="6917A0F1">
      <w:pPr>
        <w:pStyle w:val="3"/>
        <w:numPr>
          <w:ilvl w:val="0"/>
          <w:numId w:val="2"/>
        </w:numPr>
        <w:bidi w:val="0"/>
        <w:rPr>
          <w:rFonts w:hint="default"/>
          <w:lang w:val="en-US" w:eastAsia="zh-CN"/>
        </w:rPr>
      </w:pPr>
      <w:bookmarkStart w:id="24" w:name="_Toc18652"/>
      <w:r>
        <w:rPr>
          <w:rFonts w:hint="eastAsia"/>
          <w:lang w:val="en-US" w:eastAsia="zh-CN"/>
        </w:rPr>
        <w:t>交互效应OLS结果</w:t>
      </w:r>
      <w:bookmarkEnd w:id="24"/>
    </w:p>
    <w:p w14:paraId="4F2E2444">
      <w:pPr>
        <w:numPr>
          <w:numId w:val="0"/>
        </w:numPr>
        <w:spacing w:line="240" w:lineRule="auto"/>
        <w:jc w:val="center"/>
        <w:rPr>
          <w:rFonts w:hint="default"/>
          <w:lang w:val="en-US" w:eastAsia="zh-CN"/>
        </w:rPr>
      </w:pPr>
      <w:r>
        <w:drawing>
          <wp:inline distT="0" distB="0" distL="114300" distR="114300">
            <wp:extent cx="3789680" cy="3115310"/>
            <wp:effectExtent l="0" t="0" r="1270" b="889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7"/>
                    <a:stretch>
                      <a:fillRect/>
                    </a:stretch>
                  </pic:blipFill>
                  <pic:spPr>
                    <a:xfrm>
                      <a:off x="0" y="0"/>
                      <a:ext cx="3789680" cy="3115310"/>
                    </a:xfrm>
                    <a:prstGeom prst="rect">
                      <a:avLst/>
                    </a:prstGeom>
                    <a:noFill/>
                    <a:ln>
                      <a:noFill/>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Bahnschrift SemiLight SemiCondensed">
    <w:panose1 w:val="020B0502040204020203"/>
    <w:charset w:val="00"/>
    <w:family w:val="auto"/>
    <w:pitch w:val="default"/>
    <w:sig w:usb0="A00002C7" w:usb1="00000002" w:usb2="00000000" w:usb3="00000000" w:csb0="2000019F" w:csb1="00000000"/>
  </w:font>
  <w:font w:name="@宋体">
    <w:panose1 w:val="02010600030101010101"/>
    <w:charset w:val="86"/>
    <w:family w:val="auto"/>
    <w:pitch w:val="variable"/>
    <w:sig w:usb0="00000203" w:usb1="288F0000" w:usb2="0000000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6395080"/>
      <w:docPartObj>
        <w:docPartGallery w:val="autotext"/>
      </w:docPartObj>
    </w:sdtPr>
    <w:sdtContent>
      <w:p w14:paraId="4841F592">
        <w:pPr>
          <w:pStyle w:val="7"/>
          <w:jc w:val="center"/>
        </w:pPr>
        <w:r>
          <w:fldChar w:fldCharType="begin"/>
        </w:r>
        <w:r>
          <w:instrText xml:space="preserve">PAGE   \* MERGEFORMAT</w:instrText>
        </w:r>
        <w:r>
          <w:fldChar w:fldCharType="separate"/>
        </w:r>
        <w:r>
          <w:rPr>
            <w:lang w:val="zh-CN"/>
          </w:rPr>
          <w:t>2</w:t>
        </w:r>
        <w:r>
          <w:fldChar w:fldCharType="end"/>
        </w:r>
      </w:p>
    </w:sdtContent>
  </w:sdt>
  <w:p w14:paraId="0B1EEBE4">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057C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385CB">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C5CB3">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5A5B3">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F37F1">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61509"/>
    <w:multiLevelType w:val="singleLevel"/>
    <w:tmpl w:val="DBD61509"/>
    <w:lvl w:ilvl="0" w:tentative="0">
      <w:start w:val="1"/>
      <w:numFmt w:val="upperLetter"/>
      <w:suff w:val="space"/>
      <w:lvlText w:val="%1."/>
      <w:lvlJc w:val="left"/>
    </w:lvl>
  </w:abstractNum>
  <w:abstractNum w:abstractNumId="1">
    <w:nsid w:val="33270B85"/>
    <w:multiLevelType w:val="multilevel"/>
    <w:tmpl w:val="33270B85"/>
    <w:lvl w:ilvl="0" w:tentative="0">
      <w:start w:val="1"/>
      <w:numFmt w:val="decimal"/>
      <w:lvlText w:val="%1"/>
      <w:lvlJc w:val="left"/>
      <w:pPr>
        <w:ind w:left="360" w:hanging="360"/>
      </w:pPr>
      <w:rPr>
        <w:rFonts w:ascii="Times New Roman" w:hAnsi="Times New Roman" w:eastAsia="宋体" w:cs="Times New Roman"/>
      </w:rPr>
    </w:lvl>
    <w:lvl w:ilvl="1" w:tentative="0">
      <w:start w:val="1"/>
      <w:numFmt w:val="decimal"/>
      <w:isLgl/>
      <w:lvlText w:val="%1.%2"/>
      <w:lvlJc w:val="left"/>
      <w:pPr>
        <w:ind w:left="490" w:hanging="49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5668"/>
    <w:rsid w:val="0001152B"/>
    <w:rsid w:val="000701D4"/>
    <w:rsid w:val="000C76E7"/>
    <w:rsid w:val="000D44FE"/>
    <w:rsid w:val="000F58E7"/>
    <w:rsid w:val="00116EDE"/>
    <w:rsid w:val="0023314E"/>
    <w:rsid w:val="003516CC"/>
    <w:rsid w:val="0035180D"/>
    <w:rsid w:val="00415668"/>
    <w:rsid w:val="005320F3"/>
    <w:rsid w:val="00580CB0"/>
    <w:rsid w:val="005B491B"/>
    <w:rsid w:val="00832B82"/>
    <w:rsid w:val="00841932"/>
    <w:rsid w:val="00870D22"/>
    <w:rsid w:val="008C0025"/>
    <w:rsid w:val="008D1382"/>
    <w:rsid w:val="008F4E0C"/>
    <w:rsid w:val="00901570"/>
    <w:rsid w:val="00911871"/>
    <w:rsid w:val="00940704"/>
    <w:rsid w:val="00986232"/>
    <w:rsid w:val="009A4FD4"/>
    <w:rsid w:val="009D16E4"/>
    <w:rsid w:val="009F0A17"/>
    <w:rsid w:val="00A17B70"/>
    <w:rsid w:val="00B23EDD"/>
    <w:rsid w:val="00BC5841"/>
    <w:rsid w:val="00BD1C81"/>
    <w:rsid w:val="00C116A4"/>
    <w:rsid w:val="00C916B9"/>
    <w:rsid w:val="00C9376B"/>
    <w:rsid w:val="00C97A5F"/>
    <w:rsid w:val="00D23AD9"/>
    <w:rsid w:val="00D37EAE"/>
    <w:rsid w:val="00E01655"/>
    <w:rsid w:val="00E10DCB"/>
    <w:rsid w:val="00ED36E9"/>
    <w:rsid w:val="00F0751D"/>
    <w:rsid w:val="00FB160D"/>
    <w:rsid w:val="00FF3ADB"/>
    <w:rsid w:val="045A6A03"/>
    <w:rsid w:val="050634BB"/>
    <w:rsid w:val="08CE2541"/>
    <w:rsid w:val="157E7260"/>
    <w:rsid w:val="1660321B"/>
    <w:rsid w:val="18BA663E"/>
    <w:rsid w:val="1A7F3DF7"/>
    <w:rsid w:val="49F033BE"/>
    <w:rsid w:val="4F817D66"/>
    <w:rsid w:val="55110DB9"/>
    <w:rsid w:val="57EF351F"/>
    <w:rsid w:val="651D4188"/>
    <w:rsid w:val="68525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color w:val="000000"/>
      <w:sz w:val="24"/>
      <w:szCs w:val="21"/>
      <w:lang w:val="en-US" w:eastAsia="zh-CN" w:bidi="ar-SA"/>
    </w:rPr>
  </w:style>
  <w:style w:type="paragraph" w:styleId="2">
    <w:name w:val="heading 1"/>
    <w:basedOn w:val="1"/>
    <w:next w:val="1"/>
    <w:link w:val="20"/>
    <w:qFormat/>
    <w:uiPriority w:val="9"/>
    <w:pPr>
      <w:keepNext/>
      <w:keepLines/>
      <w:spacing w:before="120" w:after="120"/>
      <w:outlineLvl w:val="0"/>
    </w:pPr>
    <w:rPr>
      <w:b/>
      <w:bCs/>
      <w:kern w:val="44"/>
      <w:sz w:val="30"/>
      <w:szCs w:val="44"/>
    </w:rPr>
  </w:style>
  <w:style w:type="paragraph" w:styleId="3">
    <w:name w:val="heading 2"/>
    <w:basedOn w:val="1"/>
    <w:next w:val="1"/>
    <w:link w:val="21"/>
    <w:unhideWhenUsed/>
    <w:qFormat/>
    <w:uiPriority w:val="9"/>
    <w:pPr>
      <w:spacing w:before="120" w:after="120"/>
      <w:outlineLvl w:val="1"/>
    </w:pPr>
    <w:rPr>
      <w:rFonts w:asciiTheme="majorHAnsi" w:hAnsiTheme="majorHAnsi" w:cstheme="majorBidi"/>
      <w:b/>
      <w:bCs/>
      <w:sz w:val="28"/>
      <w:szCs w:val="32"/>
    </w:rPr>
  </w:style>
  <w:style w:type="paragraph" w:styleId="4">
    <w:name w:val="heading 3"/>
    <w:basedOn w:val="1"/>
    <w:next w:val="1"/>
    <w:link w:val="26"/>
    <w:unhideWhenUsed/>
    <w:qFormat/>
    <w:uiPriority w:val="9"/>
    <w:pPr>
      <w:keepNext/>
      <w:keepLines/>
      <w:spacing w:before="120" w:after="120"/>
      <w:outlineLvl w:val="2"/>
    </w:pPr>
    <w:rPr>
      <w:b/>
      <w:bCs/>
      <w:szCs w:val="32"/>
    </w:rPr>
  </w:style>
  <w:style w:type="character" w:default="1" w:styleId="16">
    <w:name w:val="Default Paragraph Font"/>
    <w:unhideWhenUsed/>
    <w:qFormat/>
    <w:uiPriority w:val="1"/>
  </w:style>
  <w:style w:type="table" w:default="1" w:styleId="14">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宋体" w:hAnsi="宋体" w:eastAsia="宋体" w:cs="宋体"/>
      <w:color w:val="000000"/>
      <w:sz w:val="21"/>
      <w:szCs w:val="21"/>
    </w:rPr>
    <w:tblPr>
      <w:tblCellMar>
        <w:top w:w="0" w:type="dxa"/>
        <w:left w:w="108" w:type="dxa"/>
        <w:bottom w:w="0" w:type="dxa"/>
        <w:right w:w="108" w:type="dxa"/>
      </w:tblCellMar>
    </w:tblPr>
  </w:style>
  <w:style w:type="paragraph" w:styleId="5">
    <w:name w:val="toc 3"/>
    <w:basedOn w:val="1"/>
    <w:next w:val="1"/>
    <w:autoRedefine/>
    <w:unhideWhenUsed/>
    <w:qFormat/>
    <w:uiPriority w:val="39"/>
    <w:pPr>
      <w:widowControl/>
      <w:spacing w:after="100" w:line="259" w:lineRule="auto"/>
      <w:ind w:left="440"/>
      <w:jc w:val="left"/>
    </w:pPr>
    <w:rPr>
      <w:rFonts w:asciiTheme="minorHAnsi" w:hAnsiTheme="minorHAnsi" w:eastAsiaTheme="minorEastAsia"/>
      <w:color w:val="auto"/>
      <w:sz w:val="22"/>
      <w:szCs w:val="22"/>
    </w:rPr>
  </w:style>
  <w:style w:type="paragraph" w:styleId="6">
    <w:name w:val="Date"/>
    <w:basedOn w:val="1"/>
    <w:next w:val="1"/>
    <w:link w:val="19"/>
    <w:semiHidden/>
    <w:unhideWhenUsed/>
    <w:qFormat/>
    <w:uiPriority w:val="99"/>
    <w:pPr>
      <w:ind w:left="100" w:leftChars="2500"/>
    </w:pPr>
  </w:style>
  <w:style w:type="paragraph" w:styleId="7">
    <w:name w:val="footer"/>
    <w:basedOn w:val="1"/>
    <w:link w:val="24"/>
    <w:unhideWhenUsed/>
    <w:qFormat/>
    <w:uiPriority w:val="99"/>
    <w:pPr>
      <w:tabs>
        <w:tab w:val="center" w:pos="4153"/>
        <w:tab w:val="right" w:pos="8306"/>
      </w:tabs>
      <w:snapToGrid w:val="0"/>
      <w:spacing w:line="240" w:lineRule="auto"/>
      <w:jc w:val="left"/>
    </w:pPr>
    <w:rPr>
      <w:sz w:val="18"/>
      <w:szCs w:val="18"/>
    </w:rPr>
  </w:style>
  <w:style w:type="paragraph" w:styleId="8">
    <w:name w:val="header"/>
    <w:basedOn w:val="1"/>
    <w:link w:val="23"/>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9">
    <w:name w:val="toc 1"/>
    <w:basedOn w:val="1"/>
    <w:next w:val="1"/>
    <w:autoRedefine/>
    <w:unhideWhenUsed/>
    <w:qFormat/>
    <w:uiPriority w:val="39"/>
    <w:pPr>
      <w:widowControl/>
      <w:spacing w:after="100" w:line="259" w:lineRule="auto"/>
      <w:jc w:val="left"/>
    </w:pPr>
    <w:rPr>
      <w:rFonts w:asciiTheme="minorHAnsi" w:hAnsiTheme="minorHAnsi" w:eastAsiaTheme="minorEastAsia"/>
      <w:color w:val="auto"/>
      <w:sz w:val="22"/>
      <w:szCs w:val="22"/>
    </w:rPr>
  </w:style>
  <w:style w:type="paragraph" w:styleId="10">
    <w:name w:val="toc 2"/>
    <w:basedOn w:val="1"/>
    <w:next w:val="1"/>
    <w:autoRedefine/>
    <w:unhideWhenUsed/>
    <w:qFormat/>
    <w:uiPriority w:val="39"/>
    <w:pPr>
      <w:widowControl/>
      <w:spacing w:after="100" w:line="259" w:lineRule="auto"/>
      <w:ind w:left="220"/>
      <w:jc w:val="left"/>
    </w:pPr>
    <w:rPr>
      <w:rFonts w:asciiTheme="minorHAnsi" w:hAnsiTheme="minorHAnsi" w:eastAsiaTheme="minorEastAsia"/>
      <w:color w:val="auto"/>
      <w:sz w:val="22"/>
      <w:szCs w:val="22"/>
    </w:rPr>
  </w:style>
  <w:style w:type="paragraph" w:styleId="11">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nhideWhenUsed/>
    <w:qFormat/>
    <w:uiPriority w:val="99"/>
    <w:pPr>
      <w:widowControl/>
      <w:spacing w:before="100" w:beforeAutospacing="1" w:after="100" w:afterAutospacing="1" w:line="240" w:lineRule="auto"/>
      <w:jc w:val="left"/>
    </w:pPr>
    <w:rPr>
      <w:rFonts w:ascii="宋体" w:hAnsi="宋体" w:cs="宋体"/>
      <w:color w:val="auto"/>
      <w:szCs w:val="24"/>
    </w:rPr>
  </w:style>
  <w:style w:type="paragraph" w:styleId="13">
    <w:name w:val="Title"/>
    <w:basedOn w:val="1"/>
    <w:next w:val="1"/>
    <w:link w:val="22"/>
    <w:qFormat/>
    <w:uiPriority w:val="10"/>
    <w:pPr>
      <w:spacing w:before="120" w:after="120"/>
      <w:jc w:val="center"/>
      <w:outlineLvl w:val="0"/>
    </w:pPr>
    <w:rPr>
      <w:rFonts w:asciiTheme="majorHAnsi" w:hAnsiTheme="majorHAnsi" w:cstheme="majorBidi"/>
      <w:b/>
      <w:bCs/>
      <w:szCs w:val="32"/>
    </w:rPr>
  </w:style>
  <w:style w:type="table" w:styleId="15">
    <w:name w:val="Table Grid"/>
    <w:basedOn w:val="14"/>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customStyle="1" w:styleId="19">
    <w:name w:val="日期 字符"/>
    <w:basedOn w:val="16"/>
    <w:link w:val="6"/>
    <w:semiHidden/>
    <w:qFormat/>
    <w:uiPriority w:val="99"/>
    <w:rPr>
      <w:rFonts w:ascii="Times New Roman" w:hAnsi="Times New Roman"/>
    </w:rPr>
  </w:style>
  <w:style w:type="character" w:customStyle="1" w:styleId="20">
    <w:name w:val="标题 1 字符"/>
    <w:basedOn w:val="16"/>
    <w:link w:val="2"/>
    <w:qFormat/>
    <w:uiPriority w:val="9"/>
    <w:rPr>
      <w:rFonts w:ascii="Times New Roman" w:hAnsi="Times New Roman"/>
      <w:b/>
      <w:bCs/>
      <w:kern w:val="44"/>
      <w:sz w:val="30"/>
      <w:szCs w:val="44"/>
    </w:rPr>
  </w:style>
  <w:style w:type="character" w:customStyle="1" w:styleId="21">
    <w:name w:val="标题 2 字符"/>
    <w:basedOn w:val="16"/>
    <w:link w:val="3"/>
    <w:qFormat/>
    <w:uiPriority w:val="9"/>
    <w:rPr>
      <w:rFonts w:asciiTheme="majorHAnsi" w:hAnsiTheme="majorHAnsi" w:cstheme="majorBidi"/>
      <w:b/>
      <w:bCs/>
      <w:sz w:val="28"/>
      <w:szCs w:val="32"/>
    </w:rPr>
  </w:style>
  <w:style w:type="character" w:customStyle="1" w:styleId="22">
    <w:name w:val="标题 字符"/>
    <w:basedOn w:val="16"/>
    <w:link w:val="13"/>
    <w:qFormat/>
    <w:uiPriority w:val="10"/>
    <w:rPr>
      <w:rFonts w:asciiTheme="majorHAnsi" w:hAnsiTheme="majorHAnsi" w:cstheme="majorBidi"/>
      <w:b/>
      <w:bCs/>
      <w:sz w:val="24"/>
      <w:szCs w:val="32"/>
    </w:rPr>
  </w:style>
  <w:style w:type="character" w:customStyle="1" w:styleId="23">
    <w:name w:val="页眉 字符"/>
    <w:basedOn w:val="16"/>
    <w:link w:val="8"/>
    <w:qFormat/>
    <w:uiPriority w:val="99"/>
    <w:rPr>
      <w:rFonts w:ascii="Times New Roman" w:hAnsi="Times New Roman"/>
      <w:sz w:val="18"/>
      <w:szCs w:val="18"/>
    </w:rPr>
  </w:style>
  <w:style w:type="character" w:customStyle="1" w:styleId="24">
    <w:name w:val="页脚 字符"/>
    <w:basedOn w:val="16"/>
    <w:link w:val="7"/>
    <w:qFormat/>
    <w:uiPriority w:val="99"/>
    <w:rPr>
      <w:rFonts w:ascii="Times New Roman" w:hAnsi="Times New Roman"/>
      <w:sz w:val="18"/>
      <w:szCs w:val="18"/>
    </w:rPr>
  </w:style>
  <w:style w:type="paragraph" w:styleId="25">
    <w:name w:val="List Paragraph"/>
    <w:basedOn w:val="1"/>
    <w:qFormat/>
    <w:uiPriority w:val="34"/>
    <w:pPr>
      <w:ind w:firstLine="420" w:firstLineChars="200"/>
    </w:pPr>
  </w:style>
  <w:style w:type="character" w:customStyle="1" w:styleId="26">
    <w:name w:val="标题 3 字符"/>
    <w:basedOn w:val="16"/>
    <w:link w:val="4"/>
    <w:qFormat/>
    <w:uiPriority w:val="9"/>
    <w:rPr>
      <w:rFonts w:ascii="Times New Roman" w:hAnsi="Times New Roman"/>
      <w:b/>
      <w:bCs/>
      <w:sz w:val="24"/>
      <w:szCs w:val="32"/>
    </w:rPr>
  </w:style>
  <w:style w:type="character" w:customStyle="1" w:styleId="27">
    <w:name w:val="text-ellipsis"/>
    <w:basedOn w:val="16"/>
    <w:qFormat/>
    <w:uiPriority w:val="0"/>
  </w:style>
  <w:style w:type="paragraph" w:customStyle="1" w:styleId="2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仿宋"/>
        <a:cs typeface=""/>
      </a:majorFont>
      <a:minorFont>
        <a:latin typeface="Times New Roman"/>
        <a:ea typeface="仿宋"/>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4218</Words>
  <Characters>5487</Characters>
  <Lines>257</Lines>
  <Paragraphs>72</Paragraphs>
  <TotalTime>129</TotalTime>
  <ScaleCrop>false</ScaleCrop>
  <LinksUpToDate>false</LinksUpToDate>
  <CharactersWithSpaces>8047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2024-12-16T00:09:00Z</dcterms:created>
  <dc:creator>一阳 耿</dc:creator>
  <cp:lastModifiedBy>耿一阳</cp:lastModifiedBy>
  <cp:lastPrinted>2024-12-16T16:22:00Z</cp:lastPrinted>
  <dcterms:modified xsi:type="dcterms:W3CDTF">2025-12-04T13:38:46Z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eyJoZGlkIjoiMWEyOWJkNTJkMDdmM2ZmYTA1ZTlmN2RjNDZkNTg5ZGQiLCJ1c2VySWQiOiIxNzQ3NTQ3ODc4In0=</vt:lpwstr>
  </property>
  <property fmtid="{D5CDD505-2E9C-101B-9397-08002B2CF9AE}" pid="3" name="KSOProductBuildVer">
    <vt:lpwstr>2052-12.1.0.23542</vt:lpwstr>
  </property>
  <property fmtid="{D5CDD505-2E9C-101B-9397-08002B2CF9AE}" pid="4" name="ICV">
    <vt:lpwstr>7E975D9FDABC4E7D8D8E2F631E0CEE06_12</vt:lpwstr>
  </property>
  <property fmtid="{D5CDD505-2E9C-101B-9397-08002B2CF9AE}" pid="5" name="BD_Document_Page_Count">
    <vt:lpwstr>11</vt:lpwstr>
  </property>
</Properties>
</file>