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b/>
          <w:bCs/>
          <w:color w:val="1F2A44"/>
          <w:sz w:val="40"/>
          <w:szCs w:val="40"/>
        </w:rPr>
        <w:t xml:space="preserve">CNS HIAA</w:t>
      </w:r>
    </w:p>
    <w:p>
      <w:pPr>
        <w:spacing w:after="400"/>
        <w:jc w:val="center"/>
      </w:pPr>
      <w:r>
        <w:rPr>
          <w:color w:val="5B6472"/>
          <w:sz w:val="22"/>
          <w:szCs w:val="22"/>
        </w:rPr>
        <w:t xml:space="preserve">Airport KPI Dashboard</w:t>
      </w:r>
    </w:p>
    <w:p>
      <w:pPr>
        <w:spacing w:after="120"/>
        <w:jc w:val="center"/>
      </w:pPr>
      <w:r>
        <w:rPr>
          <w:b/>
          <w:bCs/>
          <w:color w:val="1F2A44"/>
          <w:sz w:val="52"/>
          <w:szCs w:val="52"/>
        </w:rPr>
        <w:t xml:space="preserve">Design &amp; Azure Deployment</w:t>
      </w:r>
    </w:p>
    <w:p>
      <w:pPr>
        <w:spacing w:after="500"/>
        <w:jc w:val="center"/>
      </w:pPr>
      <w:r>
        <w:rPr>
          <w:color w:val="2563EB"/>
          <w:sz w:val="26"/>
          <w:szCs w:val="26"/>
        </w:rPr>
        <w:t xml:space="preserve">Architecture, design system, and production setup</w:t>
      </w:r>
    </w:p>
    <w:p>
      <w:pPr>
        <w:spacing w:after="60"/>
        <w:jc w:val="center"/>
      </w:pPr>
      <w:r>
        <w:rPr>
          <w:b/>
          <w:bCs/>
          <w:color w:val="1F2A44"/>
          <w:sz w:val="22"/>
          <w:szCs w:val="22"/>
        </w:rPr>
        <w:t xml:space="preserve">For solution architects and Azure administrators</w:t>
      </w:r>
    </w:p>
    <w:p>
      <w:pPr>
        <w:jc w:val="center"/>
      </w:pPr>
      <w:r>
        <w:rPr>
          <w:color w:val="5B6472"/>
          <w:sz w:val="20"/>
          <w:szCs w:val="20"/>
        </w:rPr>
        <w:t xml:space="preserve">Version 1.0  |  July 2026</w:t>
      </w:r>
    </w:p>
    <w:p>
      <w:r>
        <w:br w:type="page"/>
      </w:r>
    </w:p>
    <w:p>
      <w:pPr>
        <w:pStyle w:val="Heading1"/>
        <w:spacing w:after="140" w:before="360"/>
      </w:pPr>
      <w:r>
        <w:rPr>
          <w:b/>
          <w:bCs/>
          <w:color w:val="1F2A44"/>
          <w:sz w:val="30"/>
          <w:szCs w:val="30"/>
        </w:rPr>
        <w:t xml:space="preserve">Part A — Design</w:t>
      </w:r>
    </w:p>
    <w:p>
      <w:pPr>
        <w:spacing w:after="120" w:line="288"/>
      </w:pPr>
      <w:r>
        <w:rPr>
          <w:color w:val="222933"/>
          <w:sz w:val="21"/>
          <w:szCs w:val="21"/>
        </w:rPr>
        <w:t xml:space="preserve">This document has two parts. Part A describes how the application is designed — its architecture, data flow, and visual design system. Part B is a step-by-step guide to deploying it to Microsoft Azure for production, including Azure Database for PostgreSQL Flexible Server, Microsoft Entra ID sign-in, role-based access control (RBAC), and scheduled evaluation with Power Automate.</w:t>
      </w:r>
    </w:p>
    <w:p>
      <w:pPr>
        <w:pStyle w:val="Heading2"/>
        <w:spacing w:after="100" w:before="260"/>
      </w:pPr>
      <w:r>
        <w:rPr>
          <w:b/>
          <w:bCs/>
          <w:color w:val="1F2A44"/>
          <w:sz w:val="24"/>
          <w:szCs w:val="24"/>
        </w:rPr>
        <w:t xml:space="preserve">A1. Architecture overview</w:t>
      </w:r>
    </w:p>
    <w:p>
      <w:pPr>
        <w:spacing w:after="120" w:line="288"/>
      </w:pPr>
      <w:r>
        <w:rPr>
          <w:color w:val="222933"/>
          <w:sz w:val="21"/>
          <w:szCs w:val="21"/>
        </w:rPr>
        <w:t xml:space="preserve">The dashboard is a Next.js (App Router) application rendered mostly on the server. KPI values are computed on the server from source spreadsheets and streamed to the browser as HTML, so no business logic or credentials live on the client. Persistent state for the notification system lives in PostgreSQL.</w:t>
      </w:r>
    </w:p>
    <w:tbl>
      <w:tblPr>
        <w:tblW w:type="pct" w:w="100%"/>
        <w:tblBorders>
          <w:top w:val="single" w:color="D5DBE5" w:sz="4"/>
          <w:left w:val="single" w:color="D5DBE5" w:sz="4"/>
          <w:bottom w:val="single" w:color="D5DBE5" w:sz="4"/>
          <w:right w:val="single" w:color="D5DBE5" w:sz="4"/>
          <w:insideH w:val="single" w:color="D5DBE5" w:sz="4"/>
          <w:insideV w:val="single" w:color="D5DBE5" w:sz="4"/>
        </w:tblBorders>
      </w:tblPr>
      <w:tblGrid>
        <w:gridCol w:w="2200"/>
        <w:gridCol w:w="3200"/>
        <w:gridCol w:w="4000"/>
      </w:tblGrid>
      <w:tr>
        <w:trPr>
          <w:tblHeader/>
        </w:trPr>
        <w:tc>
          <w:tcPr>
            <w:shd w:fill="1F2A44" w:color="auto" w:val="clear"/>
            <w:tcMar>
              <w:top w:type="dxa" w:w="80"/>
              <w:left w:type="dxa" w:w="120"/>
              <w:bottom w:type="dxa" w:w="80"/>
              <w:right w:type="dxa" w:w="120"/>
            </w:tcMar>
          </w:tcPr>
          <w:p>
            <w:r>
              <w:rPr>
                <w:b/>
                <w:bCs/>
                <w:color w:val="FFFFFF"/>
                <w:sz w:val="19"/>
                <w:szCs w:val="19"/>
              </w:rPr>
              <w:t xml:space="preserve">Layer</w:t>
            </w:r>
          </w:p>
        </w:tc>
        <w:tc>
          <w:tcPr>
            <w:shd w:fill="1F2A44" w:color="auto" w:val="clear"/>
            <w:tcMar>
              <w:top w:type="dxa" w:w="80"/>
              <w:left w:type="dxa" w:w="120"/>
              <w:bottom w:type="dxa" w:w="80"/>
              <w:right w:type="dxa" w:w="120"/>
            </w:tcMar>
          </w:tcPr>
          <w:p>
            <w:r>
              <w:rPr>
                <w:b/>
                <w:bCs/>
                <w:color w:val="FFFFFF"/>
                <w:sz w:val="19"/>
                <w:szCs w:val="19"/>
              </w:rPr>
              <w:t xml:space="preserve">Technology</w:t>
            </w:r>
          </w:p>
        </w:tc>
        <w:tc>
          <w:tcPr>
            <w:shd w:fill="1F2A44" w:color="auto" w:val="clear"/>
            <w:tcMar>
              <w:top w:type="dxa" w:w="80"/>
              <w:left w:type="dxa" w:w="120"/>
              <w:bottom w:type="dxa" w:w="80"/>
              <w:right w:type="dxa" w:w="120"/>
            </w:tcMar>
          </w:tcPr>
          <w:p>
            <w:r>
              <w:rPr>
                <w:b/>
                <w:bCs/>
                <w:color w:val="FFFFFF"/>
                <w:sz w:val="19"/>
                <w:szCs w:val="19"/>
              </w:rPr>
              <w:t xml:space="preserve">Responsibility</w:t>
            </w:r>
          </w:p>
        </w:tc>
      </w:tr>
      <w:tr>
        <w:tc>
          <w:tcPr>
            <w:shd w:fill="FFFFFF" w:color="auto" w:val="clear"/>
            <w:tcMar>
              <w:top w:type="dxa" w:w="70"/>
              <w:left w:type="dxa" w:w="120"/>
              <w:bottom w:type="dxa" w:w="70"/>
              <w:right w:type="dxa" w:w="120"/>
            </w:tcMar>
          </w:tcPr>
          <w:p>
            <w:r>
              <w:rPr>
                <w:color w:val="222933"/>
                <w:sz w:val="19"/>
                <w:szCs w:val="19"/>
              </w:rPr>
              <w:t xml:space="preserve">Presentation</w:t>
            </w:r>
          </w:p>
        </w:tc>
        <w:tc>
          <w:tcPr>
            <w:shd w:fill="FFFFFF" w:color="auto" w:val="clear"/>
            <w:tcMar>
              <w:top w:type="dxa" w:w="70"/>
              <w:left w:type="dxa" w:w="120"/>
              <w:bottom w:type="dxa" w:w="70"/>
              <w:right w:type="dxa" w:w="120"/>
            </w:tcMar>
          </w:tcPr>
          <w:p>
            <w:r>
              <w:rPr>
                <w:color w:val="222933"/>
                <w:sz w:val="19"/>
                <w:szCs w:val="19"/>
              </w:rPr>
              <w:t xml:space="preserve">Next.js RSC + Tailwind CSS</w:t>
            </w:r>
          </w:p>
        </w:tc>
        <w:tc>
          <w:tcPr>
            <w:shd w:fill="FFFFFF" w:color="auto" w:val="clear"/>
            <w:tcMar>
              <w:top w:type="dxa" w:w="70"/>
              <w:left w:type="dxa" w:w="120"/>
              <w:bottom w:type="dxa" w:w="70"/>
              <w:right w:type="dxa" w:w="120"/>
            </w:tcMar>
          </w:tcPr>
          <w:p>
            <w:r>
              <w:rPr>
                <w:color w:val="222933"/>
                <w:sz w:val="19"/>
                <w:szCs w:val="19"/>
              </w:rPr>
              <w:t xml:space="preserve">Server-rendered dashboards, executive summary, reports, notification centre.</w:t>
            </w:r>
          </w:p>
        </w:tc>
      </w:tr>
      <w:tr>
        <w:tc>
          <w:tcPr>
            <w:shd w:fill="F6F8FC" w:color="auto" w:val="clear"/>
            <w:tcMar>
              <w:top w:type="dxa" w:w="70"/>
              <w:left w:type="dxa" w:w="120"/>
              <w:bottom w:type="dxa" w:w="70"/>
              <w:right w:type="dxa" w:w="120"/>
            </w:tcMar>
          </w:tcPr>
          <w:p>
            <w:r>
              <w:rPr>
                <w:color w:val="222933"/>
                <w:sz w:val="19"/>
                <w:szCs w:val="19"/>
              </w:rPr>
              <w:t xml:space="preserve">Application</w:t>
            </w:r>
          </w:p>
        </w:tc>
        <w:tc>
          <w:tcPr>
            <w:shd w:fill="F6F8FC" w:color="auto" w:val="clear"/>
            <w:tcMar>
              <w:top w:type="dxa" w:w="70"/>
              <w:left w:type="dxa" w:w="120"/>
              <w:bottom w:type="dxa" w:w="70"/>
              <w:right w:type="dxa" w:w="120"/>
            </w:tcMar>
          </w:tcPr>
          <w:p>
            <w:r>
              <w:rPr>
                <w:color w:val="222933"/>
                <w:sz w:val="19"/>
                <w:szCs w:val="19"/>
              </w:rPr>
              <w:t xml:space="preserve">Next.js server actions + route handlers</w:t>
            </w:r>
          </w:p>
        </w:tc>
        <w:tc>
          <w:tcPr>
            <w:shd w:fill="F6F8FC" w:color="auto" w:val="clear"/>
            <w:tcMar>
              <w:top w:type="dxa" w:w="70"/>
              <w:left w:type="dxa" w:w="120"/>
              <w:bottom w:type="dxa" w:w="70"/>
              <w:right w:type="dxa" w:w="120"/>
            </w:tcMar>
          </w:tcPr>
          <w:p>
            <w:r>
              <w:rPr>
                <w:color w:val="222933"/>
                <w:sz w:val="19"/>
                <w:szCs w:val="19"/>
              </w:rPr>
              <w:t xml:space="preserve">KPI computation, evaluation engine, RBAC enforcement.</w:t>
            </w:r>
          </w:p>
        </w:tc>
      </w:tr>
      <w:tr>
        <w:tc>
          <w:tcPr>
            <w:shd w:fill="FFFFFF" w:color="auto" w:val="clear"/>
            <w:tcMar>
              <w:top w:type="dxa" w:w="70"/>
              <w:left w:type="dxa" w:w="120"/>
              <w:bottom w:type="dxa" w:w="70"/>
              <w:right w:type="dxa" w:w="120"/>
            </w:tcMar>
          </w:tcPr>
          <w:p>
            <w:r>
              <w:rPr>
                <w:color w:val="222933"/>
                <w:sz w:val="19"/>
                <w:szCs w:val="19"/>
              </w:rPr>
              <w:t xml:space="preserve">Data source</w:t>
            </w:r>
          </w:p>
        </w:tc>
        <w:tc>
          <w:tcPr>
            <w:shd w:fill="FFFFFF" w:color="auto" w:val="clear"/>
            <w:tcMar>
              <w:top w:type="dxa" w:w="70"/>
              <w:left w:type="dxa" w:w="120"/>
              <w:bottom w:type="dxa" w:w="70"/>
              <w:right w:type="dxa" w:w="120"/>
            </w:tcMar>
          </w:tcPr>
          <w:p>
            <w:r>
              <w:rPr>
                <w:color w:val="222933"/>
                <w:sz w:val="19"/>
                <w:szCs w:val="19"/>
              </w:rPr>
              <w:t xml:space="preserve">SharePoint / Microsoft Graph</w:t>
            </w:r>
          </w:p>
        </w:tc>
        <w:tc>
          <w:tcPr>
            <w:shd w:fill="FFFFFF" w:color="auto" w:val="clear"/>
            <w:tcMar>
              <w:top w:type="dxa" w:w="70"/>
              <w:left w:type="dxa" w:w="120"/>
              <w:bottom w:type="dxa" w:w="70"/>
              <w:right w:type="dxa" w:w="120"/>
            </w:tcMar>
          </w:tcPr>
          <w:p>
            <w:r>
              <w:rPr>
                <w:color w:val="222933"/>
                <w:sz w:val="19"/>
                <w:szCs w:val="19"/>
              </w:rPr>
              <w:t xml:space="preserve">21 KPI workbooks (KPI-01 … KPI-21) with local fallback.</w:t>
            </w:r>
          </w:p>
        </w:tc>
      </w:tr>
      <w:tr>
        <w:tc>
          <w:tcPr>
            <w:shd w:fill="F6F8FC" w:color="auto" w:val="clear"/>
            <w:tcMar>
              <w:top w:type="dxa" w:w="70"/>
              <w:left w:type="dxa" w:w="120"/>
              <w:bottom w:type="dxa" w:w="70"/>
              <w:right w:type="dxa" w:w="120"/>
            </w:tcMar>
          </w:tcPr>
          <w:p>
            <w:r>
              <w:rPr>
                <w:color w:val="222933"/>
                <w:sz w:val="19"/>
                <w:szCs w:val="19"/>
              </w:rPr>
              <w:t xml:space="preserve">Persistence</w:t>
            </w:r>
          </w:p>
        </w:tc>
        <w:tc>
          <w:tcPr>
            <w:shd w:fill="F6F8FC" w:color="auto" w:val="clear"/>
            <w:tcMar>
              <w:top w:type="dxa" w:w="70"/>
              <w:left w:type="dxa" w:w="120"/>
              <w:bottom w:type="dxa" w:w="70"/>
              <w:right w:type="dxa" w:w="120"/>
            </w:tcMar>
          </w:tcPr>
          <w:p>
            <w:r>
              <w:rPr>
                <w:color w:val="222933"/>
                <w:sz w:val="19"/>
                <w:szCs w:val="19"/>
              </w:rPr>
              <w:t xml:space="preserve">Azure Database for PostgreSQL Flexible Server</w:t>
            </w:r>
          </w:p>
        </w:tc>
        <w:tc>
          <w:tcPr>
            <w:shd w:fill="F6F8FC" w:color="auto" w:val="clear"/>
            <w:tcMar>
              <w:top w:type="dxa" w:w="70"/>
              <w:left w:type="dxa" w:w="120"/>
              <w:bottom w:type="dxa" w:w="70"/>
              <w:right w:type="dxa" w:w="120"/>
            </w:tcMar>
          </w:tcPr>
          <w:p>
            <w:r>
              <w:rPr>
                <w:color w:val="222933"/>
                <w:sz w:val="19"/>
                <w:szCs w:val="19"/>
              </w:rPr>
              <w:t xml:space="preserve">Users, subscriptions, alert events, deliveries, audit log, status snapshots.</w:t>
            </w:r>
          </w:p>
        </w:tc>
      </w:tr>
      <w:tr>
        <w:tc>
          <w:tcPr>
            <w:shd w:fill="FFFFFF" w:color="auto" w:val="clear"/>
            <w:tcMar>
              <w:top w:type="dxa" w:w="70"/>
              <w:left w:type="dxa" w:w="120"/>
              <w:bottom w:type="dxa" w:w="70"/>
              <w:right w:type="dxa" w:w="120"/>
            </w:tcMar>
          </w:tcPr>
          <w:p>
            <w:r>
              <w:rPr>
                <w:color w:val="222933"/>
                <w:sz w:val="19"/>
                <w:szCs w:val="19"/>
              </w:rPr>
              <w:t xml:space="preserve">Identity</w:t>
            </w:r>
          </w:p>
        </w:tc>
        <w:tc>
          <w:tcPr>
            <w:shd w:fill="FFFFFF" w:color="auto" w:val="clear"/>
            <w:tcMar>
              <w:top w:type="dxa" w:w="70"/>
              <w:left w:type="dxa" w:w="120"/>
              <w:bottom w:type="dxa" w:w="70"/>
              <w:right w:type="dxa" w:w="120"/>
            </w:tcMar>
          </w:tcPr>
          <w:p>
            <w:r>
              <w:rPr>
                <w:color w:val="222933"/>
                <w:sz w:val="19"/>
                <w:szCs w:val="19"/>
              </w:rPr>
              <w:t xml:space="preserve">Microsoft Entra ID via App Service Easy Auth</w:t>
            </w:r>
          </w:p>
        </w:tc>
        <w:tc>
          <w:tcPr>
            <w:shd w:fill="FFFFFF" w:color="auto" w:val="clear"/>
            <w:tcMar>
              <w:top w:type="dxa" w:w="70"/>
              <w:left w:type="dxa" w:w="120"/>
              <w:bottom w:type="dxa" w:w="70"/>
              <w:right w:type="dxa" w:w="120"/>
            </w:tcMar>
          </w:tcPr>
          <w:p>
            <w:r>
              <w:rPr>
                <w:color w:val="222933"/>
                <w:sz w:val="19"/>
                <w:szCs w:val="19"/>
              </w:rPr>
              <w:t xml:space="preserve">Authentication and App Role assignment.</w:t>
            </w:r>
          </w:p>
        </w:tc>
      </w:tr>
      <w:tr>
        <w:tc>
          <w:tcPr>
            <w:shd w:fill="F6F8FC" w:color="auto" w:val="clear"/>
            <w:tcMar>
              <w:top w:type="dxa" w:w="70"/>
              <w:left w:type="dxa" w:w="120"/>
              <w:bottom w:type="dxa" w:w="70"/>
              <w:right w:type="dxa" w:w="120"/>
            </w:tcMar>
          </w:tcPr>
          <w:p>
            <w:r>
              <w:rPr>
                <w:color w:val="222933"/>
                <w:sz w:val="19"/>
                <w:szCs w:val="19"/>
              </w:rPr>
              <w:t xml:space="preserve">Hosting</w:t>
            </w:r>
          </w:p>
        </w:tc>
        <w:tc>
          <w:tcPr>
            <w:shd w:fill="F6F8FC" w:color="auto" w:val="clear"/>
            <w:tcMar>
              <w:top w:type="dxa" w:w="70"/>
              <w:left w:type="dxa" w:w="120"/>
              <w:bottom w:type="dxa" w:w="70"/>
              <w:right w:type="dxa" w:w="120"/>
            </w:tcMar>
          </w:tcPr>
          <w:p>
            <w:r>
              <w:rPr>
                <w:color w:val="222933"/>
                <w:sz w:val="19"/>
                <w:szCs w:val="19"/>
              </w:rPr>
              <w:t xml:space="preserve">Azure App Service (Node.js)</w:t>
            </w:r>
          </w:p>
        </w:tc>
        <w:tc>
          <w:tcPr>
            <w:shd w:fill="F6F8FC" w:color="auto" w:val="clear"/>
            <w:tcMar>
              <w:top w:type="dxa" w:w="70"/>
              <w:left w:type="dxa" w:w="120"/>
              <w:bottom w:type="dxa" w:w="70"/>
              <w:right w:type="dxa" w:w="120"/>
            </w:tcMar>
          </w:tcPr>
          <w:p>
            <w:r>
              <w:rPr>
                <w:color w:val="222933"/>
                <w:sz w:val="19"/>
                <w:szCs w:val="19"/>
              </w:rPr>
              <w:t xml:space="preserve">Runs the Next.js server in Canada East.</w:t>
            </w:r>
          </w:p>
        </w:tc>
      </w:tr>
    </w:tbl>
    <w:p>
      <w:pPr>
        <w:pStyle w:val="Heading2"/>
        <w:spacing w:after="100" w:before="260"/>
      </w:pPr>
      <w:r>
        <w:rPr>
          <w:b/>
          <w:bCs/>
          <w:color w:val="1F2A44"/>
          <w:sz w:val="24"/>
          <w:szCs w:val="24"/>
        </w:rPr>
        <w:t xml:space="preserve">A2. Data flow: spreadsheet to visualization</w:t>
      </w:r>
    </w:p>
    <w:p>
      <w:pPr>
        <w:spacing w:after="120" w:line="288"/>
      </w:pPr>
      <w:r>
        <w:rPr>
          <w:color w:val="222933"/>
          <w:sz w:val="21"/>
          <w:szCs w:val="21"/>
        </w:rPr>
        <w:t xml:space="preserve">Every KPI follows the same one-way pipeline. The workbook is the single source of record; the app never stores KPI numbers of its own.</w:t>
      </w:r>
    </w:p>
    <w:p>
      <w:pPr>
        <w:pStyle w:val="ListParagraph"/>
        <w:numPr>
          <w:ilvl w:val="0"/>
          <w:numId w:val="2"/>
        </w:numPr>
        <w:spacing w:after="80" w:line="276"/>
      </w:pPr>
      <w:r>
        <w:rPr>
          <w:color w:val="222933"/>
          <w:sz w:val="21"/>
          <w:szCs w:val="21"/>
        </w:rPr>
        <w:t xml:space="preserve">Source workbook (KPI-NN.xlsx) is maintained in SharePoint.</w:t>
      </w:r>
    </w:p>
    <w:p>
      <w:pPr>
        <w:pStyle w:val="ListParagraph"/>
        <w:numPr>
          <w:ilvl w:val="0"/>
          <w:numId w:val="2"/>
        </w:numPr>
        <w:spacing w:after="80" w:line="276"/>
      </w:pPr>
      <w:r>
        <w:rPr>
          <w:color w:val="222933"/>
          <w:sz w:val="21"/>
          <w:szCs w:val="21"/>
        </w:rPr>
        <w:t xml:space="preserve">lib/sharepoint/workbook-source.ts downloads it via Microsoft Graph (or uses the bundled local fallback) and caches it.</w:t>
      </w:r>
    </w:p>
    <w:p>
      <w:pPr>
        <w:pStyle w:val="ListParagraph"/>
        <w:numPr>
          <w:ilvl w:val="0"/>
          <w:numId w:val="2"/>
        </w:numPr>
        <w:spacing w:after="80" w:line="276"/>
      </w:pPr>
      <w:r>
        <w:rPr>
          <w:color w:val="222933"/>
          <w:sz w:val="21"/>
          <w:szCs w:val="21"/>
        </w:rPr>
        <w:t xml:space="preserve">lib/xlsx-loader.ts parses the workbook with SheetJS; lib/kpi-data/get-rows.ts turns the relevant sheet into typed rows.</w:t>
      </w:r>
    </w:p>
    <w:p>
      <w:pPr>
        <w:pStyle w:val="ListParagraph"/>
        <w:numPr>
          <w:ilvl w:val="0"/>
          <w:numId w:val="2"/>
        </w:numPr>
        <w:spacing w:after="80" w:line="276"/>
      </w:pPr>
      <w:r>
        <w:rPr>
          <w:color w:val="222933"/>
          <w:sz w:val="21"/>
          <w:szCs w:val="21"/>
        </w:rPr>
        <w:t xml:space="preserve">lib/kpi-NN/ computes that KPI's status, counts, and damage points.</w:t>
      </w:r>
    </w:p>
    <w:p>
      <w:pPr>
        <w:pStyle w:val="ListParagraph"/>
        <w:numPr>
          <w:ilvl w:val="0"/>
          <w:numId w:val="2"/>
        </w:numPr>
        <w:spacing w:after="80" w:line="276"/>
      </w:pPr>
      <w:r>
        <w:rPr>
          <w:color w:val="222933"/>
          <w:sz w:val="21"/>
          <w:szCs w:val="21"/>
        </w:rPr>
        <w:t xml:space="preserve">lib/executive-summary/ aggregates all 21 KPIs into the portfolio status.</w:t>
      </w:r>
    </w:p>
    <w:p>
      <w:pPr>
        <w:pStyle w:val="ListParagraph"/>
        <w:numPr>
          <w:ilvl w:val="0"/>
          <w:numId w:val="2"/>
        </w:numPr>
        <w:spacing w:after="80" w:line="276"/>
      </w:pPr>
      <w:r>
        <w:rPr>
          <w:color w:val="222933"/>
          <w:sz w:val="21"/>
          <w:szCs w:val="21"/>
        </w:rPr>
        <w:t xml:space="preserve">The page renders charts and tables from that computed data; the notification engine compares it against the last snapshot.</w:t>
      </w:r>
    </w:p>
    <w:tbl>
      <w:tblPr>
        <w:tblW w:type="pct" w:w="100%"/>
        <w:tblBorders>
          <w:top w:val="single" w:color="2563EB" w:sz="4"/>
          <w:left w:val="single" w:color="2563EB" w:sz="4"/>
          <w:bottom w:val="single" w:color="2563EB" w:sz="4"/>
          <w:right w:val="single" w:color="2563EB" w:sz="4"/>
          <w:insideH w:val="single" w:color="2563EB" w:sz="4"/>
          <w:insideV w:val="single" w:color="2563EB" w:sz="4"/>
        </w:tblBorders>
      </w:tblPr>
      <w:tblGrid>
        <w:gridCol w:w="100"/>
      </w:tblGrid>
      <w:tr>
        <w:tc>
          <w:tcPr>
            <w:shd w:fill="EEF2F8" w:color="auto" w:val="clear"/>
            <w:tcMar>
              <w:top w:type="dxa" w:w="120"/>
              <w:left w:type="dxa" w:w="160"/>
              <w:bottom w:type="dxa" w:w="120"/>
              <w:right w:type="dxa" w:w="160"/>
            </w:tcMar>
          </w:tcPr>
          <w:p>
            <w:pPr>
              <w:spacing w:after="60"/>
            </w:pPr>
            <w:r>
              <w:rPr>
                <w:b/>
                <w:bCs/>
                <w:color w:val="1F2A44"/>
                <w:sz w:val="20"/>
                <w:szCs w:val="20"/>
              </w:rPr>
              <w:t xml:space="preserve">Why this matters for deployment</w:t>
            </w:r>
          </w:p>
          <w:p>
            <w:r>
              <w:rPr>
                <w:color w:val="2B3442"/>
                <w:sz w:val="20"/>
                <w:szCs w:val="20"/>
              </w:rPr>
              <w:t xml:space="preserve">Because all 21 KPIs share this pipeline, the only data dependencies to configure in Azure are (a) access to the SharePoint workbooks via Graph and (b) the PostgreSQL connection. There is no separate ETL job to run.</w:t>
            </w:r>
          </w:p>
        </w:tc>
      </w:tr>
    </w:tbl>
    <w:p>
      <w:r>
        <w:br w:type="page"/>
      </w:r>
    </w:p>
    <w:p>
      <w:pPr>
        <w:pStyle w:val="Heading2"/>
        <w:spacing w:after="100" w:before="260"/>
      </w:pPr>
      <w:r>
        <w:rPr>
          <w:b/>
          <w:bCs/>
          <w:color w:val="1F2A44"/>
          <w:sz w:val="24"/>
          <w:szCs w:val="24"/>
        </w:rPr>
        <w:t xml:space="preserve">A3. Visual design system</w:t>
      </w:r>
    </w:p>
    <w:p>
      <w:pPr>
        <w:spacing w:after="120" w:line="288"/>
      </w:pPr>
      <w:r>
        <w:rPr>
          <w:color w:val="222933"/>
          <w:sz w:val="21"/>
          <w:szCs w:val="21"/>
        </w:rPr>
        <w:t xml:space="preserve">The interface uses a small, deliberately constrained design system so the dashboard reads as a single professional product across every device.</w:t>
      </w:r>
    </w:p>
    <w:p>
      <w:pPr>
        <w:pStyle w:val="Heading3"/>
        <w:spacing w:after="80" w:before="180"/>
      </w:pPr>
      <w:r>
        <w:rPr>
          <w:b/>
          <w:bCs/>
          <w:color w:val="2563EB"/>
          <w:sz w:val="21"/>
          <w:szCs w:val="21"/>
        </w:rPr>
        <w:t xml:space="preserve">Color</w:t>
      </w:r>
    </w:p>
    <w:p>
      <w:pPr>
        <w:pStyle w:val="ListParagraph"/>
        <w:numPr>
          <w:ilvl w:val="0"/>
          <w:numId w:val="1"/>
        </w:numPr>
        <w:spacing w:after="60" w:line="276"/>
      </w:pPr>
      <w:r>
        <w:rPr>
          <w:color w:val="222933"/>
          <w:sz w:val="21"/>
          <w:szCs w:val="21"/>
        </w:rPr>
        <w:t xml:space="preserve">Navy (#1F2A44) — primary brand and text color used for headers, primary buttons, and emphasis.</w:t>
      </w:r>
    </w:p>
    <w:p>
      <w:pPr>
        <w:pStyle w:val="ListParagraph"/>
        <w:numPr>
          <w:ilvl w:val="0"/>
          <w:numId w:val="1"/>
        </w:numPr>
        <w:spacing w:after="60" w:line="276"/>
      </w:pPr>
      <w:r>
        <w:rPr>
          <w:color w:val="222933"/>
          <w:sz w:val="21"/>
          <w:szCs w:val="21"/>
        </w:rPr>
        <w:t xml:space="preserve">Aviation blue (#2563EB) — accent for links, active navigation, and highlights.</w:t>
      </w:r>
    </w:p>
    <w:p>
      <w:pPr>
        <w:pStyle w:val="ListParagraph"/>
        <w:numPr>
          <w:ilvl w:val="0"/>
          <w:numId w:val="1"/>
        </w:numPr>
        <w:spacing w:after="60" w:line="276"/>
      </w:pPr>
      <w:r>
        <w:rPr>
          <w:color w:val="222933"/>
          <w:sz w:val="21"/>
          <w:szCs w:val="21"/>
        </w:rPr>
        <w:t xml:space="preserve">Neutrals — white, light greys, and borders for surfaces and separation.</w:t>
      </w:r>
    </w:p>
    <w:p>
      <w:pPr>
        <w:pStyle w:val="ListParagraph"/>
        <w:numPr>
          <w:ilvl w:val="0"/>
          <w:numId w:val="1"/>
        </w:numPr>
        <w:spacing w:after="60" w:line="276"/>
      </w:pPr>
      <w:r>
        <w:rPr>
          <w:color w:val="222933"/>
          <w:sz w:val="21"/>
          <w:szCs w:val="21"/>
        </w:rPr>
        <w:t xml:space="preserve">Status semantics — green (on target), amber (warning), red (critical), applied identically in dashboards and notifications so the two always agree.</w:t>
      </w:r>
    </w:p>
    <w:p>
      <w:pPr>
        <w:pStyle w:val="Heading3"/>
        <w:spacing w:after="80" w:before="180"/>
      </w:pPr>
      <w:r>
        <w:rPr>
          <w:b/>
          <w:bCs/>
          <w:color w:val="2563EB"/>
          <w:sz w:val="21"/>
          <w:szCs w:val="21"/>
        </w:rPr>
        <w:t xml:space="preserve">Typography</w:t>
      </w:r>
    </w:p>
    <w:p>
      <w:pPr>
        <w:pStyle w:val="ListParagraph"/>
        <w:numPr>
          <w:ilvl w:val="0"/>
          <w:numId w:val="1"/>
        </w:numPr>
        <w:spacing w:after="60" w:line="276"/>
      </w:pPr>
      <w:r>
        <w:rPr>
          <w:color w:val="222933"/>
          <w:sz w:val="21"/>
          <w:szCs w:val="21"/>
        </w:rPr>
        <w:t xml:space="preserve">A single sans-serif family (Geist) across headings and body, differentiated by weight and size rather than multiple typefaces.</w:t>
      </w:r>
    </w:p>
    <w:p>
      <w:pPr>
        <w:pStyle w:val="ListParagraph"/>
        <w:numPr>
          <w:ilvl w:val="0"/>
          <w:numId w:val="1"/>
        </w:numPr>
        <w:spacing w:after="60" w:line="276"/>
      </w:pPr>
      <w:r>
        <w:rPr>
          <w:color w:val="222933"/>
          <w:sz w:val="21"/>
          <w:szCs w:val="21"/>
        </w:rPr>
        <w:t xml:space="preserve">Generous line height for readable, report-style density.</w:t>
      </w:r>
    </w:p>
    <w:p>
      <w:pPr>
        <w:pStyle w:val="Heading3"/>
        <w:spacing w:after="80" w:before="180"/>
      </w:pPr>
      <w:r>
        <w:rPr>
          <w:b/>
          <w:bCs/>
          <w:color w:val="2563EB"/>
          <w:sz w:val="21"/>
          <w:szCs w:val="21"/>
        </w:rPr>
        <w:t xml:space="preserve">Layout &amp; responsiveness</w:t>
      </w:r>
    </w:p>
    <w:p>
      <w:pPr>
        <w:pStyle w:val="ListParagraph"/>
        <w:numPr>
          <w:ilvl w:val="0"/>
          <w:numId w:val="1"/>
        </w:numPr>
        <w:spacing w:after="60" w:line="276"/>
      </w:pPr>
      <w:r>
        <w:rPr>
          <w:color w:val="222933"/>
          <w:sz w:val="21"/>
          <w:szCs w:val="21"/>
        </w:rPr>
        <w:t xml:space="preserve">Mobile-first, flexbox-based layouts that reflow from a multi-column desktop grid to a single column on phones.</w:t>
      </w:r>
    </w:p>
    <w:p>
      <w:pPr>
        <w:pStyle w:val="ListParagraph"/>
        <w:numPr>
          <w:ilvl w:val="0"/>
          <w:numId w:val="1"/>
        </w:numPr>
        <w:spacing w:after="60" w:line="276"/>
      </w:pPr>
      <w:r>
        <w:rPr>
          <w:color w:val="222933"/>
          <w:sz w:val="21"/>
          <w:szCs w:val="21"/>
        </w:rPr>
        <w:t xml:space="preserve">The top navigation collapses to a hamburger menu below the medium breakpoint; the same features are reachable on PC, Mac, iPhone, and Android.</w:t>
      </w:r>
    </w:p>
    <w:p>
      <w:pPr>
        <w:pStyle w:val="ListParagraph"/>
        <w:numPr>
          <w:ilvl w:val="0"/>
          <w:numId w:val="1"/>
        </w:numPr>
        <w:spacing w:after="60" w:line="276"/>
      </w:pPr>
      <w:r>
        <w:rPr>
          <w:color w:val="222933"/>
          <w:sz w:val="21"/>
          <w:szCs w:val="21"/>
        </w:rPr>
        <w:t xml:space="preserve">A dedicated print stylesheet produces clean contract/management reports.</w:t>
      </w:r>
    </w:p>
    <w:tbl>
      <w:tblPr>
        <w:tblW w:type="pct" w:w="100%"/>
        <w:tblBorders>
          <w:top w:val="single" w:color="D5DBE5" w:sz="4"/>
          <w:left w:val="single" w:color="D5DBE5" w:sz="4"/>
          <w:bottom w:val="single" w:color="D5DBE5" w:sz="4"/>
          <w:right w:val="single" w:color="D5DBE5" w:sz="4"/>
          <w:insideH w:val="single" w:color="D5DBE5" w:sz="4"/>
          <w:insideV w:val="single" w:color="D5DBE5" w:sz="4"/>
        </w:tblBorders>
      </w:tblPr>
      <w:tblGrid>
        <w:gridCol w:w="2600"/>
        <w:gridCol w:w="2200"/>
        <w:gridCol w:w="4600"/>
      </w:tblGrid>
      <w:tr>
        <w:trPr>
          <w:tblHeader/>
        </w:trPr>
        <w:tc>
          <w:tcPr>
            <w:shd w:fill="1F2A44" w:color="auto" w:val="clear"/>
            <w:tcMar>
              <w:top w:type="dxa" w:w="80"/>
              <w:left w:type="dxa" w:w="120"/>
              <w:bottom w:type="dxa" w:w="80"/>
              <w:right w:type="dxa" w:w="120"/>
            </w:tcMar>
          </w:tcPr>
          <w:p>
            <w:r>
              <w:rPr>
                <w:b/>
                <w:bCs/>
                <w:color w:val="FFFFFF"/>
                <w:sz w:val="19"/>
                <w:szCs w:val="19"/>
              </w:rPr>
              <w:t xml:space="preserve">Design token</w:t>
            </w:r>
          </w:p>
        </w:tc>
        <w:tc>
          <w:tcPr>
            <w:shd w:fill="1F2A44" w:color="auto" w:val="clear"/>
            <w:tcMar>
              <w:top w:type="dxa" w:w="80"/>
              <w:left w:type="dxa" w:w="120"/>
              <w:bottom w:type="dxa" w:w="80"/>
              <w:right w:type="dxa" w:w="120"/>
            </w:tcMar>
          </w:tcPr>
          <w:p>
            <w:r>
              <w:rPr>
                <w:b/>
                <w:bCs/>
                <w:color w:val="FFFFFF"/>
                <w:sz w:val="19"/>
                <w:szCs w:val="19"/>
              </w:rPr>
              <w:t xml:space="preserve">Value</w:t>
            </w:r>
          </w:p>
        </w:tc>
        <w:tc>
          <w:tcPr>
            <w:shd w:fill="1F2A44" w:color="auto" w:val="clear"/>
            <w:tcMar>
              <w:top w:type="dxa" w:w="80"/>
              <w:left w:type="dxa" w:w="120"/>
              <w:bottom w:type="dxa" w:w="80"/>
              <w:right w:type="dxa" w:w="120"/>
            </w:tcMar>
          </w:tcPr>
          <w:p>
            <w:r>
              <w:rPr>
                <w:b/>
                <w:bCs/>
                <w:color w:val="FFFFFF"/>
                <w:sz w:val="19"/>
                <w:szCs w:val="19"/>
              </w:rPr>
              <w:t xml:space="preserve">Usage</w:t>
            </w:r>
          </w:p>
        </w:tc>
      </w:tr>
      <w:tr>
        <w:tc>
          <w:tcPr>
            <w:shd w:fill="FFFFFF" w:color="auto" w:val="clear"/>
            <w:tcMar>
              <w:top w:type="dxa" w:w="70"/>
              <w:left w:type="dxa" w:w="120"/>
              <w:bottom w:type="dxa" w:w="70"/>
              <w:right w:type="dxa" w:w="120"/>
            </w:tcMar>
          </w:tcPr>
          <w:p>
            <w:r>
              <w:rPr>
                <w:color w:val="222933"/>
                <w:sz w:val="19"/>
                <w:szCs w:val="19"/>
              </w:rPr>
              <w:t xml:space="preserve">--navy</w:t>
            </w:r>
          </w:p>
        </w:tc>
        <w:tc>
          <w:tcPr>
            <w:shd w:fill="FFFFFF" w:color="auto" w:val="clear"/>
            <w:tcMar>
              <w:top w:type="dxa" w:w="70"/>
              <w:left w:type="dxa" w:w="120"/>
              <w:bottom w:type="dxa" w:w="70"/>
              <w:right w:type="dxa" w:w="120"/>
            </w:tcMar>
          </w:tcPr>
          <w:p>
            <w:r>
              <w:rPr>
                <w:color w:val="222933"/>
                <w:sz w:val="19"/>
                <w:szCs w:val="19"/>
              </w:rPr>
              <w:t xml:space="preserve">#1F2A44</w:t>
            </w:r>
          </w:p>
        </w:tc>
        <w:tc>
          <w:tcPr>
            <w:shd w:fill="FFFFFF" w:color="auto" w:val="clear"/>
            <w:tcMar>
              <w:top w:type="dxa" w:w="70"/>
              <w:left w:type="dxa" w:w="120"/>
              <w:bottom w:type="dxa" w:w="70"/>
              <w:right w:type="dxa" w:w="120"/>
            </w:tcMar>
          </w:tcPr>
          <w:p>
            <w:r>
              <w:rPr>
                <w:color w:val="222933"/>
                <w:sz w:val="19"/>
                <w:szCs w:val="19"/>
              </w:rPr>
              <w:t xml:space="preserve">Primary text, headers, primary buttons.</w:t>
            </w:r>
          </w:p>
        </w:tc>
      </w:tr>
      <w:tr>
        <w:tc>
          <w:tcPr>
            <w:shd w:fill="F6F8FC" w:color="auto" w:val="clear"/>
            <w:tcMar>
              <w:top w:type="dxa" w:w="70"/>
              <w:left w:type="dxa" w:w="120"/>
              <w:bottom w:type="dxa" w:w="70"/>
              <w:right w:type="dxa" w:w="120"/>
            </w:tcMar>
          </w:tcPr>
          <w:p>
            <w:r>
              <w:rPr>
                <w:color w:val="222933"/>
                <w:sz w:val="19"/>
                <w:szCs w:val="19"/>
              </w:rPr>
              <w:t xml:space="preserve">--aviation</w:t>
            </w:r>
          </w:p>
        </w:tc>
        <w:tc>
          <w:tcPr>
            <w:shd w:fill="F6F8FC" w:color="auto" w:val="clear"/>
            <w:tcMar>
              <w:top w:type="dxa" w:w="70"/>
              <w:left w:type="dxa" w:w="120"/>
              <w:bottom w:type="dxa" w:w="70"/>
              <w:right w:type="dxa" w:w="120"/>
            </w:tcMar>
          </w:tcPr>
          <w:p>
            <w:r>
              <w:rPr>
                <w:color w:val="222933"/>
                <w:sz w:val="19"/>
                <w:szCs w:val="19"/>
              </w:rPr>
              <w:t xml:space="preserve">#2563EB</w:t>
            </w:r>
          </w:p>
        </w:tc>
        <w:tc>
          <w:tcPr>
            <w:shd w:fill="F6F8FC" w:color="auto" w:val="clear"/>
            <w:tcMar>
              <w:top w:type="dxa" w:w="70"/>
              <w:left w:type="dxa" w:w="120"/>
              <w:bottom w:type="dxa" w:w="70"/>
              <w:right w:type="dxa" w:w="120"/>
            </w:tcMar>
          </w:tcPr>
          <w:p>
            <w:r>
              <w:rPr>
                <w:color w:val="222933"/>
                <w:sz w:val="19"/>
                <w:szCs w:val="19"/>
              </w:rPr>
              <w:t xml:space="preserve">Links, active nav, accents.</w:t>
            </w:r>
          </w:p>
        </w:tc>
      </w:tr>
      <w:tr>
        <w:tc>
          <w:tcPr>
            <w:shd w:fill="FFFFFF" w:color="auto" w:val="clear"/>
            <w:tcMar>
              <w:top w:type="dxa" w:w="70"/>
              <w:left w:type="dxa" w:w="120"/>
              <w:bottom w:type="dxa" w:w="70"/>
              <w:right w:type="dxa" w:w="120"/>
            </w:tcMar>
          </w:tcPr>
          <w:p>
            <w:r>
              <w:rPr>
                <w:color w:val="222933"/>
                <w:sz w:val="19"/>
                <w:szCs w:val="19"/>
              </w:rPr>
              <w:t xml:space="preserve">Status: on-target</w:t>
            </w:r>
          </w:p>
        </w:tc>
        <w:tc>
          <w:tcPr>
            <w:shd w:fill="FFFFFF" w:color="auto" w:val="clear"/>
            <w:tcMar>
              <w:top w:type="dxa" w:w="70"/>
              <w:left w:type="dxa" w:w="120"/>
              <w:bottom w:type="dxa" w:w="70"/>
              <w:right w:type="dxa" w:w="120"/>
            </w:tcMar>
          </w:tcPr>
          <w:p>
            <w:r>
              <w:rPr>
                <w:color w:val="222933"/>
                <w:sz w:val="19"/>
                <w:szCs w:val="19"/>
              </w:rPr>
              <w:t xml:space="preserve">Green</w:t>
            </w:r>
          </w:p>
        </w:tc>
        <w:tc>
          <w:tcPr>
            <w:shd w:fill="FFFFFF" w:color="auto" w:val="clear"/>
            <w:tcMar>
              <w:top w:type="dxa" w:w="70"/>
              <w:left w:type="dxa" w:w="120"/>
              <w:bottom w:type="dxa" w:w="70"/>
              <w:right w:type="dxa" w:w="120"/>
            </w:tcMar>
          </w:tcPr>
          <w:p>
            <w:r>
              <w:rPr>
                <w:color w:val="222933"/>
                <w:sz w:val="19"/>
                <w:szCs w:val="19"/>
              </w:rPr>
              <w:t xml:space="preserve">KPI meeting target.</w:t>
            </w:r>
          </w:p>
        </w:tc>
      </w:tr>
      <w:tr>
        <w:tc>
          <w:tcPr>
            <w:shd w:fill="F6F8FC" w:color="auto" w:val="clear"/>
            <w:tcMar>
              <w:top w:type="dxa" w:w="70"/>
              <w:left w:type="dxa" w:w="120"/>
              <w:bottom w:type="dxa" w:w="70"/>
              <w:right w:type="dxa" w:w="120"/>
            </w:tcMar>
          </w:tcPr>
          <w:p>
            <w:r>
              <w:rPr>
                <w:color w:val="222933"/>
                <w:sz w:val="19"/>
                <w:szCs w:val="19"/>
              </w:rPr>
              <w:t xml:space="preserve">Status: warning</w:t>
            </w:r>
          </w:p>
        </w:tc>
        <w:tc>
          <w:tcPr>
            <w:shd w:fill="F6F8FC" w:color="auto" w:val="clear"/>
            <w:tcMar>
              <w:top w:type="dxa" w:w="70"/>
              <w:left w:type="dxa" w:w="120"/>
              <w:bottom w:type="dxa" w:w="70"/>
              <w:right w:type="dxa" w:w="120"/>
            </w:tcMar>
          </w:tcPr>
          <w:p>
            <w:r>
              <w:rPr>
                <w:color w:val="222933"/>
                <w:sz w:val="19"/>
                <w:szCs w:val="19"/>
              </w:rPr>
              <w:t xml:space="preserve">Amber</w:t>
            </w:r>
          </w:p>
        </w:tc>
        <w:tc>
          <w:tcPr>
            <w:shd w:fill="F6F8FC" w:color="auto" w:val="clear"/>
            <w:tcMar>
              <w:top w:type="dxa" w:w="70"/>
              <w:left w:type="dxa" w:w="120"/>
              <w:bottom w:type="dxa" w:w="70"/>
              <w:right w:type="dxa" w:w="120"/>
            </w:tcMar>
          </w:tcPr>
          <w:p>
            <w:r>
              <w:rPr>
                <w:color w:val="222933"/>
                <w:sz w:val="19"/>
                <w:szCs w:val="19"/>
              </w:rPr>
              <w:t xml:space="preserve">Attention needed.</w:t>
            </w:r>
          </w:p>
        </w:tc>
      </w:tr>
      <w:tr>
        <w:tc>
          <w:tcPr>
            <w:shd w:fill="FFFFFF" w:color="auto" w:val="clear"/>
            <w:tcMar>
              <w:top w:type="dxa" w:w="70"/>
              <w:left w:type="dxa" w:w="120"/>
              <w:bottom w:type="dxa" w:w="70"/>
              <w:right w:type="dxa" w:w="120"/>
            </w:tcMar>
          </w:tcPr>
          <w:p>
            <w:r>
              <w:rPr>
                <w:color w:val="222933"/>
                <w:sz w:val="19"/>
                <w:szCs w:val="19"/>
              </w:rPr>
              <w:t xml:space="preserve">Status: critical</w:t>
            </w:r>
          </w:p>
        </w:tc>
        <w:tc>
          <w:tcPr>
            <w:shd w:fill="FFFFFF" w:color="auto" w:val="clear"/>
            <w:tcMar>
              <w:top w:type="dxa" w:w="70"/>
              <w:left w:type="dxa" w:w="120"/>
              <w:bottom w:type="dxa" w:w="70"/>
              <w:right w:type="dxa" w:w="120"/>
            </w:tcMar>
          </w:tcPr>
          <w:p>
            <w:r>
              <w:rPr>
                <w:color w:val="222933"/>
                <w:sz w:val="19"/>
                <w:szCs w:val="19"/>
              </w:rPr>
              <w:t xml:space="preserve">Red</w:t>
            </w:r>
          </w:p>
        </w:tc>
        <w:tc>
          <w:tcPr>
            <w:shd w:fill="FFFFFF" w:color="auto" w:val="clear"/>
            <w:tcMar>
              <w:top w:type="dxa" w:w="70"/>
              <w:left w:type="dxa" w:w="120"/>
              <w:bottom w:type="dxa" w:w="70"/>
              <w:right w:type="dxa" w:w="120"/>
            </w:tcMar>
          </w:tcPr>
          <w:p>
            <w:r>
              <w:rPr>
                <w:color w:val="222933"/>
                <w:sz w:val="19"/>
                <w:szCs w:val="19"/>
              </w:rPr>
              <w:t xml:space="preserve">Target missed / damage incurred.</w:t>
            </w:r>
          </w:p>
        </w:tc>
      </w:tr>
    </w:tbl>
    <w:p>
      <w:r>
        <w:br w:type="page"/>
      </w:r>
    </w:p>
    <w:p>
      <w:pPr>
        <w:pStyle w:val="Heading1"/>
        <w:spacing w:after="140" w:before="360"/>
      </w:pPr>
      <w:r>
        <w:rPr>
          <w:b/>
          <w:bCs/>
          <w:color w:val="1F2A44"/>
          <w:sz w:val="30"/>
          <w:szCs w:val="30"/>
        </w:rPr>
        <w:t xml:space="preserve">Part B — Azure production deployment</w:t>
      </w:r>
    </w:p>
    <w:p>
      <w:pPr>
        <w:spacing w:after="120" w:line="288"/>
      </w:pPr>
      <w:r>
        <w:rPr>
          <w:color w:val="222933"/>
          <w:sz w:val="21"/>
          <w:szCs w:val="21"/>
        </w:rPr>
        <w:t xml:space="preserve">This part walks through a production deployment on Microsoft Azure, in order. Deploy all resources in the same region (Canada East is recommended) to keep data in-region and minimize latency. You will need an Azure subscription with permission to create resources and a Microsoft Entra ID administrator to register the application and assign roles.</w:t>
      </w:r>
    </w:p>
    <w:tbl>
      <w:tblPr>
        <w:tblW w:type="pct" w:w="100%"/>
        <w:tblBorders>
          <w:top w:val="single" w:color="D5DBE5" w:sz="4"/>
          <w:left w:val="single" w:color="D5DBE5" w:sz="4"/>
          <w:bottom w:val="single" w:color="D5DBE5" w:sz="4"/>
          <w:right w:val="single" w:color="D5DBE5" w:sz="4"/>
          <w:insideH w:val="single" w:color="D5DBE5" w:sz="4"/>
          <w:insideV w:val="single" w:color="D5DBE5" w:sz="4"/>
        </w:tblBorders>
      </w:tblPr>
      <w:tblGrid>
        <w:gridCol w:w="4600"/>
        <w:gridCol w:w="4800"/>
      </w:tblGrid>
      <w:tr>
        <w:trPr>
          <w:tblHeader/>
        </w:trPr>
        <w:tc>
          <w:tcPr>
            <w:shd w:fill="1F2A44" w:color="auto" w:val="clear"/>
            <w:tcMar>
              <w:top w:type="dxa" w:w="80"/>
              <w:left w:type="dxa" w:w="120"/>
              <w:bottom w:type="dxa" w:w="80"/>
              <w:right w:type="dxa" w:w="120"/>
            </w:tcMar>
          </w:tcPr>
          <w:p>
            <w:r>
              <w:rPr>
                <w:b/>
                <w:bCs/>
                <w:color w:val="FFFFFF"/>
                <w:sz w:val="19"/>
                <w:szCs w:val="19"/>
              </w:rPr>
              <w:t xml:space="preserve">Azure resource</w:t>
            </w:r>
          </w:p>
        </w:tc>
        <w:tc>
          <w:tcPr>
            <w:shd w:fill="1F2A44" w:color="auto" w:val="clear"/>
            <w:tcMar>
              <w:top w:type="dxa" w:w="80"/>
              <w:left w:type="dxa" w:w="120"/>
              <w:bottom w:type="dxa" w:w="80"/>
              <w:right w:type="dxa" w:w="120"/>
            </w:tcMar>
          </w:tcPr>
          <w:p>
            <w:r>
              <w:rPr>
                <w:b/>
                <w:bCs/>
                <w:color w:val="FFFFFF"/>
                <w:sz w:val="19"/>
                <w:szCs w:val="19"/>
              </w:rPr>
              <w:t xml:space="preserve">Purpose</w:t>
            </w:r>
          </w:p>
        </w:tc>
      </w:tr>
      <w:tr>
        <w:tc>
          <w:tcPr>
            <w:shd w:fill="FFFFFF" w:color="auto" w:val="clear"/>
            <w:tcMar>
              <w:top w:type="dxa" w:w="70"/>
              <w:left w:type="dxa" w:w="120"/>
              <w:bottom w:type="dxa" w:w="70"/>
              <w:right w:type="dxa" w:w="120"/>
            </w:tcMar>
          </w:tcPr>
          <w:p>
            <w:r>
              <w:rPr>
                <w:color w:val="222933"/>
                <w:sz w:val="19"/>
                <w:szCs w:val="19"/>
              </w:rPr>
              <w:t xml:space="preserve">Resource group</w:t>
            </w:r>
          </w:p>
        </w:tc>
        <w:tc>
          <w:tcPr>
            <w:shd w:fill="FFFFFF" w:color="auto" w:val="clear"/>
            <w:tcMar>
              <w:top w:type="dxa" w:w="70"/>
              <w:left w:type="dxa" w:w="120"/>
              <w:bottom w:type="dxa" w:w="70"/>
              <w:right w:type="dxa" w:w="120"/>
            </w:tcMar>
          </w:tcPr>
          <w:p>
            <w:r>
              <w:rPr>
                <w:color w:val="222933"/>
                <w:sz w:val="19"/>
                <w:szCs w:val="19"/>
              </w:rPr>
              <w:t xml:space="preserve">Container for all resources below (e.g. rg-cns-hiaa-kpi).</w:t>
            </w:r>
          </w:p>
        </w:tc>
      </w:tr>
      <w:tr>
        <w:tc>
          <w:tcPr>
            <w:shd w:fill="F6F8FC" w:color="auto" w:val="clear"/>
            <w:tcMar>
              <w:top w:type="dxa" w:w="70"/>
              <w:left w:type="dxa" w:w="120"/>
              <w:bottom w:type="dxa" w:w="70"/>
              <w:right w:type="dxa" w:w="120"/>
            </w:tcMar>
          </w:tcPr>
          <w:p>
            <w:r>
              <w:rPr>
                <w:color w:val="222933"/>
                <w:sz w:val="19"/>
                <w:szCs w:val="19"/>
              </w:rPr>
              <w:t xml:space="preserve">Azure Database for PostgreSQL Flexible Server</w:t>
            </w:r>
          </w:p>
        </w:tc>
        <w:tc>
          <w:tcPr>
            <w:shd w:fill="F6F8FC" w:color="auto" w:val="clear"/>
            <w:tcMar>
              <w:top w:type="dxa" w:w="70"/>
              <w:left w:type="dxa" w:w="120"/>
              <w:bottom w:type="dxa" w:w="70"/>
              <w:right w:type="dxa" w:w="120"/>
            </w:tcMar>
          </w:tcPr>
          <w:p>
            <w:r>
              <w:rPr>
                <w:color w:val="222933"/>
                <w:sz w:val="19"/>
                <w:szCs w:val="19"/>
              </w:rPr>
              <w:t xml:space="preserve">Notification database.</w:t>
            </w:r>
          </w:p>
        </w:tc>
      </w:tr>
      <w:tr>
        <w:tc>
          <w:tcPr>
            <w:shd w:fill="FFFFFF" w:color="auto" w:val="clear"/>
            <w:tcMar>
              <w:top w:type="dxa" w:w="70"/>
              <w:left w:type="dxa" w:w="120"/>
              <w:bottom w:type="dxa" w:w="70"/>
              <w:right w:type="dxa" w:w="120"/>
            </w:tcMar>
          </w:tcPr>
          <w:p>
            <w:r>
              <w:rPr>
                <w:color w:val="222933"/>
                <w:sz w:val="19"/>
                <w:szCs w:val="19"/>
              </w:rPr>
              <w:t xml:space="preserve">Azure App Service (Linux, Node)</w:t>
            </w:r>
          </w:p>
        </w:tc>
        <w:tc>
          <w:tcPr>
            <w:shd w:fill="FFFFFF" w:color="auto" w:val="clear"/>
            <w:tcMar>
              <w:top w:type="dxa" w:w="70"/>
              <w:left w:type="dxa" w:w="120"/>
              <w:bottom w:type="dxa" w:w="70"/>
              <w:right w:type="dxa" w:w="120"/>
            </w:tcMar>
          </w:tcPr>
          <w:p>
            <w:r>
              <w:rPr>
                <w:color w:val="222933"/>
                <w:sz w:val="19"/>
                <w:szCs w:val="19"/>
              </w:rPr>
              <w:t xml:space="preserve">Hosts the Next.js application.</w:t>
            </w:r>
          </w:p>
        </w:tc>
      </w:tr>
      <w:tr>
        <w:tc>
          <w:tcPr>
            <w:shd w:fill="F6F8FC" w:color="auto" w:val="clear"/>
            <w:tcMar>
              <w:top w:type="dxa" w:w="70"/>
              <w:left w:type="dxa" w:w="120"/>
              <w:bottom w:type="dxa" w:w="70"/>
              <w:right w:type="dxa" w:w="120"/>
            </w:tcMar>
          </w:tcPr>
          <w:p>
            <w:r>
              <w:rPr>
                <w:color w:val="222933"/>
                <w:sz w:val="19"/>
                <w:szCs w:val="19"/>
              </w:rPr>
              <w:t xml:space="preserve">Microsoft Entra ID app registration</w:t>
            </w:r>
          </w:p>
        </w:tc>
        <w:tc>
          <w:tcPr>
            <w:shd w:fill="F6F8FC" w:color="auto" w:val="clear"/>
            <w:tcMar>
              <w:top w:type="dxa" w:w="70"/>
              <w:left w:type="dxa" w:w="120"/>
              <w:bottom w:type="dxa" w:w="70"/>
              <w:right w:type="dxa" w:w="120"/>
            </w:tcMar>
          </w:tcPr>
          <w:p>
            <w:r>
              <w:rPr>
                <w:color w:val="222933"/>
                <w:sz w:val="19"/>
                <w:szCs w:val="19"/>
              </w:rPr>
              <w:t xml:space="preserve">Sign-in and App Roles (RBAC).</w:t>
            </w:r>
          </w:p>
        </w:tc>
      </w:tr>
      <w:tr>
        <w:tc>
          <w:tcPr>
            <w:shd w:fill="FFFFFF" w:color="auto" w:val="clear"/>
            <w:tcMar>
              <w:top w:type="dxa" w:w="70"/>
              <w:left w:type="dxa" w:w="120"/>
              <w:bottom w:type="dxa" w:w="70"/>
              <w:right w:type="dxa" w:w="120"/>
            </w:tcMar>
          </w:tcPr>
          <w:p>
            <w:r>
              <w:rPr>
                <w:color w:val="222933"/>
                <w:sz w:val="19"/>
                <w:szCs w:val="19"/>
              </w:rPr>
              <w:t xml:space="preserve">Power Automate (or Logic Apps)</w:t>
            </w:r>
          </w:p>
        </w:tc>
        <w:tc>
          <w:tcPr>
            <w:shd w:fill="FFFFFF" w:color="auto" w:val="clear"/>
            <w:tcMar>
              <w:top w:type="dxa" w:w="70"/>
              <w:left w:type="dxa" w:w="120"/>
              <w:bottom w:type="dxa" w:w="70"/>
              <w:right w:type="dxa" w:w="120"/>
            </w:tcMar>
          </w:tcPr>
          <w:p>
            <w:r>
              <w:rPr>
                <w:color w:val="222933"/>
                <w:sz w:val="19"/>
                <w:szCs w:val="19"/>
              </w:rPr>
              <w:t xml:space="preserve">Scheduled evaluation trigger.</w:t>
            </w:r>
          </w:p>
        </w:tc>
      </w:tr>
    </w:tbl>
    <w:p>
      <w:pPr>
        <w:pStyle w:val="Heading2"/>
        <w:spacing w:after="100" w:before="260"/>
      </w:pPr>
      <w:r>
        <w:rPr>
          <w:b/>
          <w:bCs/>
          <w:color w:val="1F2A44"/>
          <w:sz w:val="24"/>
          <w:szCs w:val="24"/>
        </w:rPr>
        <w:t xml:space="preserve">B1. Provision Azure Database for PostgreSQL Flexible Server</w:t>
      </w:r>
    </w:p>
    <w:p>
      <w:pPr>
        <w:pStyle w:val="ListParagraph"/>
        <w:numPr>
          <w:ilvl w:val="0"/>
          <w:numId w:val="2"/>
        </w:numPr>
        <w:spacing w:after="80" w:line="276"/>
      </w:pPr>
      <w:r>
        <w:rPr>
          <w:color w:val="222933"/>
          <w:sz w:val="21"/>
          <w:szCs w:val="21"/>
        </w:rPr>
        <w:t xml:space="preserve">In the Azure portal, create a resource: Azure Database for PostgreSQL Flexible Server, in your resource group and in Canada East.</w:t>
      </w:r>
    </w:p>
    <w:p>
      <w:pPr>
        <w:pStyle w:val="ListParagraph"/>
        <w:numPr>
          <w:ilvl w:val="0"/>
          <w:numId w:val="2"/>
        </w:numPr>
        <w:spacing w:after="80" w:line="276"/>
      </w:pPr>
      <w:r>
        <w:rPr>
          <w:color w:val="222933"/>
          <w:sz w:val="21"/>
          <w:szCs w:val="21"/>
        </w:rPr>
        <w:t xml:space="preserve">Choose a workload-appropriate compute tier (Burstable B1ms is enough to start; scale up later). Enable high availability if required by the contract.</w:t>
      </w:r>
    </w:p>
    <w:p>
      <w:pPr>
        <w:pStyle w:val="ListParagraph"/>
        <w:numPr>
          <w:ilvl w:val="0"/>
          <w:numId w:val="2"/>
        </w:numPr>
        <w:spacing w:after="80" w:line="276"/>
      </w:pPr>
      <w:r>
        <w:rPr>
          <w:color w:val="222933"/>
          <w:sz w:val="21"/>
          <w:szCs w:val="21"/>
        </w:rPr>
        <w:t xml:space="preserve">Set an administrator login and strong password, or plan to use Microsoft Entra authentication (recommended — see B4).</w:t>
      </w:r>
    </w:p>
    <w:p>
      <w:pPr>
        <w:pStyle w:val="ListParagraph"/>
        <w:numPr>
          <w:ilvl w:val="0"/>
          <w:numId w:val="2"/>
        </w:numPr>
        <w:spacing w:after="80" w:line="276"/>
      </w:pPr>
      <w:r>
        <w:rPr>
          <w:color w:val="222933"/>
          <w:sz w:val="21"/>
          <w:szCs w:val="21"/>
        </w:rPr>
        <w:t xml:space="preserve">Under Networking, require SSL/TLS. Add a firewall rule allowing Azure services, and add the App Service outbound IPs (or use a private endpoint / VNet integration for stricter isolation).</w:t>
      </w:r>
    </w:p>
    <w:p>
      <w:pPr>
        <w:pStyle w:val="ListParagraph"/>
        <w:numPr>
          <w:ilvl w:val="0"/>
          <w:numId w:val="2"/>
        </w:numPr>
        <w:spacing w:after="80" w:line="276"/>
      </w:pPr>
      <w:r>
        <w:rPr>
          <w:color w:val="222933"/>
          <w:sz w:val="21"/>
          <w:szCs w:val="21"/>
        </w:rPr>
        <w:t xml:space="preserve">After creation, create a database named kpi.</w:t>
      </w:r>
    </w:p>
    <w:p>
      <w:pPr>
        <w:pStyle w:val="ListParagraph"/>
        <w:numPr>
          <w:ilvl w:val="0"/>
          <w:numId w:val="2"/>
        </w:numPr>
        <w:spacing w:after="80" w:line="276"/>
      </w:pPr>
      <w:r>
        <w:rPr>
          <w:color w:val="222933"/>
          <w:sz w:val="21"/>
          <w:szCs w:val="21"/>
        </w:rPr>
        <w:t xml:space="preserve">Provision the schema using the bundled, idempotent DDL script (safe to re-run):</w:t>
      </w:r>
    </w:p>
    <w:p>
      <w:pPr>
        <w:shd w:fill="F2F4F8" w:color="auto" w:val="clear"/>
        <w:spacing w:after="40"/>
      </w:pPr>
      <w:r>
        <w:rPr>
          <w:rFonts w:ascii="Consolas" w:cs="Consolas" w:eastAsia="Consolas" w:hAnsi="Consolas"/>
          <w:color w:val="1B2430"/>
          <w:sz w:val="18"/>
          <w:szCs w:val="18"/>
        </w:rPr>
        <w:t xml:space="preserve">psql "host=&lt;server&gt;.postgres.database.azure.com port=5432 dbname=kpi user=&lt;admin&gt; sslmode=require" -f scripts/db/schema.sql</w:t>
      </w:r>
    </w:p>
    <w:tbl>
      <w:tblPr>
        <w:tblW w:type="pct" w:w="100%"/>
        <w:tblBorders>
          <w:top w:val="single" w:color="2563EB" w:sz="4"/>
          <w:left w:val="single" w:color="2563EB" w:sz="4"/>
          <w:bottom w:val="single" w:color="2563EB" w:sz="4"/>
          <w:right w:val="single" w:color="2563EB" w:sz="4"/>
          <w:insideH w:val="single" w:color="2563EB" w:sz="4"/>
          <w:insideV w:val="single" w:color="2563EB" w:sz="4"/>
        </w:tblBorders>
      </w:tblPr>
      <w:tblGrid>
        <w:gridCol w:w="100"/>
      </w:tblGrid>
      <w:tr>
        <w:tc>
          <w:tcPr>
            <w:shd w:fill="EEF2F8" w:color="auto" w:val="clear"/>
            <w:tcMar>
              <w:top w:type="dxa" w:w="120"/>
              <w:left w:type="dxa" w:w="160"/>
              <w:bottom w:type="dxa" w:w="120"/>
              <w:right w:type="dxa" w:w="160"/>
            </w:tcMar>
          </w:tcPr>
          <w:p>
            <w:pPr>
              <w:spacing w:after="60"/>
            </w:pPr>
            <w:r>
              <w:rPr>
                <w:b/>
                <w:bCs/>
                <w:color w:val="1F2A44"/>
                <w:sz w:val="20"/>
                <w:szCs w:val="20"/>
              </w:rPr>
              <w:t xml:space="preserve">Schema is version-controlled</w:t>
            </w:r>
          </w:p>
          <w:p>
            <w:r>
              <w:rPr>
                <w:color w:val="2B3442"/>
                <w:sz w:val="20"/>
                <w:szCs w:val="20"/>
              </w:rPr>
              <w:t xml:space="preserve">scripts/db/schema.sql creates all six tables (app_user, subscription, alert_event, delivery, audit_log, kpi_status_snapshot) and their indexes. It was validated to match the application's Drizzle schema exactly, so there is no schema drift between code and database.</w:t>
            </w:r>
          </w:p>
        </w:tc>
      </w:tr>
    </w:tbl>
    <w:p>
      <w:r>
        <w:br w:type="page"/>
      </w:r>
    </w:p>
    <w:p>
      <w:pPr>
        <w:pStyle w:val="Heading2"/>
        <w:spacing w:after="100" w:before="260"/>
      </w:pPr>
      <w:r>
        <w:rPr>
          <w:b/>
          <w:bCs/>
          <w:color w:val="1F2A44"/>
          <w:sz w:val="24"/>
          <w:szCs w:val="24"/>
        </w:rPr>
        <w:t xml:space="preserve">B2. Deploy the application to Azure App Service</w:t>
      </w:r>
    </w:p>
    <w:p>
      <w:pPr>
        <w:pStyle w:val="ListParagraph"/>
        <w:numPr>
          <w:ilvl w:val="0"/>
          <w:numId w:val="2"/>
        </w:numPr>
        <w:spacing w:after="80" w:line="276"/>
      </w:pPr>
      <w:r>
        <w:rPr>
          <w:color w:val="222933"/>
          <w:sz w:val="21"/>
          <w:szCs w:val="21"/>
        </w:rPr>
        <w:t xml:space="preserve">Create an Azure App Service (Linux) with a Node.js runtime, in the same resource group and region.</w:t>
      </w:r>
    </w:p>
    <w:p>
      <w:pPr>
        <w:pStyle w:val="ListParagraph"/>
        <w:numPr>
          <w:ilvl w:val="0"/>
          <w:numId w:val="2"/>
        </w:numPr>
        <w:spacing w:after="80" w:line="276"/>
      </w:pPr>
      <w:r>
        <w:rPr>
          <w:color w:val="222933"/>
          <w:sz w:val="21"/>
          <w:szCs w:val="21"/>
        </w:rPr>
        <w:t xml:space="preserve">Configure the build/start commands for the Next.js app (build with your package manager, then start the production server).</w:t>
      </w:r>
    </w:p>
    <w:p>
      <w:pPr>
        <w:pStyle w:val="ListParagraph"/>
        <w:numPr>
          <w:ilvl w:val="0"/>
          <w:numId w:val="2"/>
        </w:numPr>
        <w:spacing w:after="80" w:line="276"/>
      </w:pPr>
      <w:r>
        <w:rPr>
          <w:color w:val="222933"/>
          <w:sz w:val="21"/>
          <w:szCs w:val="21"/>
        </w:rPr>
        <w:t xml:space="preserve">Deploy the code via GitHub Actions, Azure DevOps, or az webapp deploy — whichever your team standardizes on.</w:t>
      </w:r>
    </w:p>
    <w:p>
      <w:pPr>
        <w:pStyle w:val="ListParagraph"/>
        <w:numPr>
          <w:ilvl w:val="0"/>
          <w:numId w:val="2"/>
        </w:numPr>
        <w:spacing w:after="80" w:line="276"/>
      </w:pPr>
      <w:r>
        <w:rPr>
          <w:color w:val="222933"/>
          <w:sz w:val="21"/>
          <w:szCs w:val="21"/>
        </w:rPr>
        <w:t xml:space="preserve">Add the application settings (environment variables) listed in B6, including DATABASE_URL pointing at the server from B1.</w:t>
      </w:r>
    </w:p>
    <w:p>
      <w:pPr>
        <w:pStyle w:val="ListParagraph"/>
        <w:numPr>
          <w:ilvl w:val="0"/>
          <w:numId w:val="2"/>
        </w:numPr>
        <w:spacing w:after="80" w:line="276"/>
      </w:pPr>
      <w:r>
        <w:rPr>
          <w:color w:val="222933"/>
          <w:sz w:val="21"/>
          <w:szCs w:val="21"/>
        </w:rPr>
        <w:t xml:space="preserve">Browse to the App Service URL and confirm the dashboards render and read live KPI data before enabling authentication.</w:t>
      </w:r>
    </w:p>
    <w:p>
      <w:pPr>
        <w:pStyle w:val="Heading2"/>
        <w:spacing w:after="100" w:before="260"/>
      </w:pPr>
      <w:r>
        <w:rPr>
          <w:b/>
          <w:bCs/>
          <w:color w:val="1F2A44"/>
          <w:sz w:val="24"/>
          <w:szCs w:val="24"/>
        </w:rPr>
        <w:t xml:space="preserve">B3. Configure Microsoft Entra ID sign-in (App Service Easy Auth)</w:t>
      </w:r>
    </w:p>
    <w:p>
      <w:pPr>
        <w:spacing w:after="120" w:line="288"/>
      </w:pPr>
      <w:r>
        <w:rPr>
          <w:color w:val="222933"/>
          <w:sz w:val="21"/>
          <w:szCs w:val="21"/>
        </w:rPr>
        <w:t xml:space="preserve">Authentication is handled by Azure App Service Authentication ("Easy Auth"). It validates the Entra ID login before the request reaches the app and injects the signed-in principal as request headers, which the app reads in lib/auth/easy-auth.ts. No client secrets or tokens are stored in application code.</w:t>
      </w:r>
    </w:p>
    <w:p>
      <w:pPr>
        <w:pStyle w:val="ListParagraph"/>
        <w:numPr>
          <w:ilvl w:val="0"/>
          <w:numId w:val="2"/>
        </w:numPr>
        <w:spacing w:after="80" w:line="276"/>
      </w:pPr>
      <w:r>
        <w:rPr>
          <w:color w:val="222933"/>
          <w:sz w:val="21"/>
          <w:szCs w:val="21"/>
        </w:rPr>
        <w:t xml:space="preserve">In Microsoft Entra ID, register an application (or let App Service create one during the next step).</w:t>
      </w:r>
    </w:p>
    <w:p>
      <w:pPr>
        <w:pStyle w:val="ListParagraph"/>
        <w:numPr>
          <w:ilvl w:val="0"/>
          <w:numId w:val="2"/>
        </w:numPr>
        <w:spacing w:after="80" w:line="276"/>
      </w:pPr>
      <w:r>
        <w:rPr>
          <w:color w:val="222933"/>
          <w:sz w:val="21"/>
          <w:szCs w:val="21"/>
        </w:rPr>
        <w:t xml:space="preserve">On the App Service, open Authentication, Add identity provider, and choose Microsoft.</w:t>
      </w:r>
    </w:p>
    <w:p>
      <w:pPr>
        <w:pStyle w:val="ListParagraph"/>
        <w:numPr>
          <w:ilvl w:val="0"/>
          <w:numId w:val="2"/>
        </w:numPr>
        <w:spacing w:after="80" w:line="276"/>
      </w:pPr>
      <w:r>
        <w:rPr>
          <w:color w:val="222933"/>
          <w:sz w:val="21"/>
          <w:szCs w:val="21"/>
        </w:rPr>
        <w:t xml:space="preserve">Point it at the Entra app registration and set Restrict access to Require authentication so unauthenticated requests are redirected to sign in.</w:t>
      </w:r>
    </w:p>
    <w:p>
      <w:pPr>
        <w:pStyle w:val="ListParagraph"/>
        <w:numPr>
          <w:ilvl w:val="0"/>
          <w:numId w:val="2"/>
        </w:numPr>
        <w:spacing w:after="80" w:line="276"/>
      </w:pPr>
      <w:r>
        <w:rPr>
          <w:color w:val="222933"/>
          <w:sz w:val="21"/>
          <w:szCs w:val="21"/>
        </w:rPr>
        <w:t xml:space="preserve">Set the app setting AUTH_REQUIRE_ENTRA=true so the application's own proxy also redirects unauthenticated page requests (defense in depth).</w:t>
      </w:r>
    </w:p>
    <w:p>
      <w:pPr>
        <w:pStyle w:val="ListParagraph"/>
        <w:numPr>
          <w:ilvl w:val="0"/>
          <w:numId w:val="2"/>
        </w:numPr>
        <w:spacing w:after="80" w:line="276"/>
      </w:pPr>
      <w:r>
        <w:rPr>
          <w:color w:val="222933"/>
          <w:sz w:val="21"/>
          <w:szCs w:val="21"/>
        </w:rPr>
        <w:t xml:space="preserve">Confirm sign-in: browse to the site, authenticate with an organizational account, and verify the Profile tab shows "Microsoft Entra ID" as the sign-in method.</w:t>
      </w:r>
    </w:p>
    <w:tbl>
      <w:tblPr>
        <w:tblW w:type="pct" w:w="100%"/>
        <w:tblBorders>
          <w:top w:val="single" w:color="2563EB" w:sz="4"/>
          <w:left w:val="single" w:color="2563EB" w:sz="4"/>
          <w:bottom w:val="single" w:color="2563EB" w:sz="4"/>
          <w:right w:val="single" w:color="2563EB" w:sz="4"/>
          <w:insideH w:val="single" w:color="2563EB" w:sz="4"/>
          <w:insideV w:val="single" w:color="2563EB" w:sz="4"/>
        </w:tblBorders>
      </w:tblPr>
      <w:tblGrid>
        <w:gridCol w:w="100"/>
      </w:tblGrid>
      <w:tr>
        <w:tc>
          <w:tcPr>
            <w:shd w:fill="EEF2F8" w:color="auto" w:val="clear"/>
            <w:tcMar>
              <w:top w:type="dxa" w:w="120"/>
              <w:left w:type="dxa" w:w="160"/>
              <w:bottom w:type="dxa" w:w="120"/>
              <w:right w:type="dxa" w:w="160"/>
            </w:tcMar>
          </w:tcPr>
          <w:p>
            <w:pPr>
              <w:spacing w:after="60"/>
            </w:pPr>
            <w:r>
              <w:rPr>
                <w:b/>
                <w:bCs/>
                <w:color w:val="1F2A44"/>
                <w:sz w:val="20"/>
                <w:szCs w:val="20"/>
              </w:rPr>
              <w:t xml:space="preserve">Local vs. production</w:t>
            </w:r>
          </w:p>
          <w:p>
            <w:r>
              <w:rPr>
                <w:color w:val="2B3442"/>
                <w:sz w:val="20"/>
                <w:szCs w:val="20"/>
              </w:rPr>
              <w:t xml:space="preserve">With no Easy Auth in front of the app (local development or preview), the app falls back to the NOTIFY_DEV_USER_* identity so the UI stays usable. That fallback is never used once a real Entra user is signed in.</w:t>
            </w:r>
          </w:p>
        </w:tc>
      </w:tr>
    </w:tbl>
    <w:p>
      <w:r>
        <w:br w:type="page"/>
      </w:r>
    </w:p>
    <w:p>
      <w:pPr>
        <w:pStyle w:val="Heading2"/>
        <w:spacing w:after="100" w:before="260"/>
      </w:pPr>
      <w:r>
        <w:rPr>
          <w:b/>
          <w:bCs/>
          <w:color w:val="1F2A44"/>
          <w:sz w:val="24"/>
          <w:szCs w:val="24"/>
        </w:rPr>
        <w:t xml:space="preserve">B4. Role-based access control (RBAC) with Entra App Roles</w:t>
      </w:r>
    </w:p>
    <w:p>
      <w:pPr>
        <w:spacing w:after="120" w:line="288"/>
      </w:pPr>
      <w:r>
        <w:rPr>
          <w:color w:val="222933"/>
          <w:sz w:val="21"/>
          <w:szCs w:val="21"/>
        </w:rPr>
        <w:t xml:space="preserve">Access levels are driven by Microsoft Entra App Roles. The application maps each user's assigned role to one of three internal roles and enforces it on the server; the highest matching role wins.</w:t>
      </w:r>
    </w:p>
    <w:p>
      <w:pPr>
        <w:pStyle w:val="ListParagraph"/>
        <w:numPr>
          <w:ilvl w:val="0"/>
          <w:numId w:val="2"/>
        </w:numPr>
        <w:spacing w:after="80" w:line="276"/>
      </w:pPr>
      <w:r>
        <w:rPr>
          <w:color w:val="222933"/>
          <w:sz w:val="21"/>
          <w:szCs w:val="21"/>
        </w:rPr>
        <w:t xml:space="preserve">In the Entra app registration, open App roles and create three roles.</w:t>
      </w:r>
    </w:p>
    <w:tbl>
      <w:tblPr>
        <w:tblW w:type="pct" w:w="100%"/>
        <w:tblBorders>
          <w:top w:val="single" w:color="D5DBE5" w:sz="4"/>
          <w:left w:val="single" w:color="D5DBE5" w:sz="4"/>
          <w:bottom w:val="single" w:color="D5DBE5" w:sz="4"/>
          <w:right w:val="single" w:color="D5DBE5" w:sz="4"/>
          <w:insideH w:val="single" w:color="D5DBE5" w:sz="4"/>
          <w:insideV w:val="single" w:color="D5DBE5" w:sz="4"/>
        </w:tblBorders>
      </w:tblPr>
      <w:tblGrid>
        <w:gridCol w:w="2200"/>
        <w:gridCol w:w="2200"/>
        <w:gridCol w:w="1500"/>
        <w:gridCol w:w="3600"/>
      </w:tblGrid>
      <w:tr>
        <w:trPr>
          <w:tblHeader/>
        </w:trPr>
        <w:tc>
          <w:tcPr>
            <w:shd w:fill="1F2A44" w:color="auto" w:val="clear"/>
            <w:tcMar>
              <w:top w:type="dxa" w:w="80"/>
              <w:left w:type="dxa" w:w="120"/>
              <w:bottom w:type="dxa" w:w="80"/>
              <w:right w:type="dxa" w:w="120"/>
            </w:tcMar>
          </w:tcPr>
          <w:p>
            <w:r>
              <w:rPr>
                <w:b/>
                <w:bCs/>
                <w:color w:val="FFFFFF"/>
                <w:sz w:val="19"/>
                <w:szCs w:val="19"/>
              </w:rPr>
              <w:t xml:space="preserve">Display name</w:t>
            </w:r>
          </w:p>
        </w:tc>
        <w:tc>
          <w:tcPr>
            <w:shd w:fill="1F2A44" w:color="auto" w:val="clear"/>
            <w:tcMar>
              <w:top w:type="dxa" w:w="80"/>
              <w:left w:type="dxa" w:w="120"/>
              <w:bottom w:type="dxa" w:w="80"/>
              <w:right w:type="dxa" w:w="120"/>
            </w:tcMar>
          </w:tcPr>
          <w:p>
            <w:r>
              <w:rPr>
                <w:b/>
                <w:bCs/>
                <w:color w:val="FFFFFF"/>
                <w:sz w:val="19"/>
                <w:szCs w:val="19"/>
              </w:rPr>
              <w:t xml:space="preserve">Value (suggested)</w:t>
            </w:r>
          </w:p>
        </w:tc>
        <w:tc>
          <w:tcPr>
            <w:shd w:fill="1F2A44" w:color="auto" w:val="clear"/>
            <w:tcMar>
              <w:top w:type="dxa" w:w="80"/>
              <w:left w:type="dxa" w:w="120"/>
              <w:bottom w:type="dxa" w:w="80"/>
              <w:right w:type="dxa" w:w="120"/>
            </w:tcMar>
          </w:tcPr>
          <w:p>
            <w:r>
              <w:rPr>
                <w:b/>
                <w:bCs/>
                <w:color w:val="FFFFFF"/>
                <w:sz w:val="19"/>
                <w:szCs w:val="19"/>
              </w:rPr>
              <w:t xml:space="preserve">Maps to</w:t>
            </w:r>
          </w:p>
        </w:tc>
        <w:tc>
          <w:tcPr>
            <w:shd w:fill="1F2A44" w:color="auto" w:val="clear"/>
            <w:tcMar>
              <w:top w:type="dxa" w:w="80"/>
              <w:left w:type="dxa" w:w="120"/>
              <w:bottom w:type="dxa" w:w="80"/>
              <w:right w:type="dxa" w:w="120"/>
            </w:tcMar>
          </w:tcPr>
          <w:p>
            <w:r>
              <w:rPr>
                <w:b/>
                <w:bCs/>
                <w:color w:val="FFFFFF"/>
                <w:sz w:val="19"/>
                <w:szCs w:val="19"/>
              </w:rPr>
              <w:t xml:space="preserve">Can do</w:t>
            </w:r>
          </w:p>
        </w:tc>
      </w:tr>
      <w:tr>
        <w:tc>
          <w:tcPr>
            <w:shd w:fill="FFFFFF" w:color="auto" w:val="clear"/>
            <w:tcMar>
              <w:top w:type="dxa" w:w="70"/>
              <w:left w:type="dxa" w:w="120"/>
              <w:bottom w:type="dxa" w:w="70"/>
              <w:right w:type="dxa" w:w="120"/>
            </w:tcMar>
          </w:tcPr>
          <w:p>
            <w:r>
              <w:rPr>
                <w:color w:val="222933"/>
                <w:sz w:val="19"/>
                <w:szCs w:val="19"/>
              </w:rPr>
              <w:t xml:space="preserve">Administrator</w:t>
            </w:r>
          </w:p>
        </w:tc>
        <w:tc>
          <w:tcPr>
            <w:shd w:fill="FFFFFF" w:color="auto" w:val="clear"/>
            <w:tcMar>
              <w:top w:type="dxa" w:w="70"/>
              <w:left w:type="dxa" w:w="120"/>
              <w:bottom w:type="dxa" w:w="70"/>
              <w:right w:type="dxa" w:w="120"/>
            </w:tcMar>
          </w:tcPr>
          <w:p>
            <w:r>
              <w:rPr>
                <w:color w:val="222933"/>
                <w:sz w:val="19"/>
                <w:szCs w:val="19"/>
              </w:rPr>
              <w:t xml:space="preserve">KPI.Admin</w:t>
            </w:r>
          </w:p>
        </w:tc>
        <w:tc>
          <w:tcPr>
            <w:shd w:fill="FFFFFF" w:color="auto" w:val="clear"/>
            <w:tcMar>
              <w:top w:type="dxa" w:w="70"/>
              <w:left w:type="dxa" w:w="120"/>
              <w:bottom w:type="dxa" w:w="70"/>
              <w:right w:type="dxa" w:w="120"/>
            </w:tcMar>
          </w:tcPr>
          <w:p>
            <w:r>
              <w:rPr>
                <w:color w:val="222933"/>
                <w:sz w:val="19"/>
                <w:szCs w:val="19"/>
              </w:rPr>
              <w:t xml:space="preserve">admin</w:t>
            </w:r>
          </w:p>
        </w:tc>
        <w:tc>
          <w:tcPr>
            <w:shd w:fill="FFFFFF" w:color="auto" w:val="clear"/>
            <w:tcMar>
              <w:top w:type="dxa" w:w="70"/>
              <w:left w:type="dxa" w:w="120"/>
              <w:bottom w:type="dxa" w:w="70"/>
              <w:right w:type="dxa" w:w="120"/>
            </w:tcMar>
          </w:tcPr>
          <w:p>
            <w:r>
              <w:rPr>
                <w:color w:val="222933"/>
                <w:sz w:val="19"/>
                <w:szCs w:val="19"/>
              </w:rPr>
              <w:t xml:space="preserve">Everything, including assignment and audit review.</w:t>
            </w:r>
          </w:p>
        </w:tc>
      </w:tr>
      <w:tr>
        <w:tc>
          <w:tcPr>
            <w:shd w:fill="F6F8FC" w:color="auto" w:val="clear"/>
            <w:tcMar>
              <w:top w:type="dxa" w:w="70"/>
              <w:left w:type="dxa" w:w="120"/>
              <w:bottom w:type="dxa" w:w="70"/>
              <w:right w:type="dxa" w:w="120"/>
            </w:tcMar>
          </w:tcPr>
          <w:p>
            <w:r>
              <w:rPr>
                <w:color w:val="222933"/>
                <w:sz w:val="19"/>
                <w:szCs w:val="19"/>
              </w:rPr>
              <w:t xml:space="preserve">Manager</w:t>
            </w:r>
          </w:p>
        </w:tc>
        <w:tc>
          <w:tcPr>
            <w:shd w:fill="F6F8FC" w:color="auto" w:val="clear"/>
            <w:tcMar>
              <w:top w:type="dxa" w:w="70"/>
              <w:left w:type="dxa" w:w="120"/>
              <w:bottom w:type="dxa" w:w="70"/>
              <w:right w:type="dxa" w:w="120"/>
            </w:tcMar>
          </w:tcPr>
          <w:p>
            <w:r>
              <w:rPr>
                <w:color w:val="222933"/>
                <w:sz w:val="19"/>
                <w:szCs w:val="19"/>
              </w:rPr>
              <w:t xml:space="preserve">KPI.Manager</w:t>
            </w:r>
          </w:p>
        </w:tc>
        <w:tc>
          <w:tcPr>
            <w:shd w:fill="F6F8FC" w:color="auto" w:val="clear"/>
            <w:tcMar>
              <w:top w:type="dxa" w:w="70"/>
              <w:left w:type="dxa" w:w="120"/>
              <w:bottom w:type="dxa" w:w="70"/>
              <w:right w:type="dxa" w:w="120"/>
            </w:tcMar>
          </w:tcPr>
          <w:p>
            <w:r>
              <w:rPr>
                <w:color w:val="222933"/>
                <w:sz w:val="19"/>
                <w:szCs w:val="19"/>
              </w:rPr>
              <w:t xml:space="preserve">manager</w:t>
            </w:r>
          </w:p>
        </w:tc>
        <w:tc>
          <w:tcPr>
            <w:shd w:fill="F6F8FC" w:color="auto" w:val="clear"/>
            <w:tcMar>
              <w:top w:type="dxa" w:w="70"/>
              <w:left w:type="dxa" w:w="120"/>
              <w:bottom w:type="dxa" w:w="70"/>
              <w:right w:type="dxa" w:w="120"/>
            </w:tcMar>
          </w:tcPr>
          <w:p>
            <w:r>
              <w:rPr>
                <w:color w:val="222933"/>
                <w:sz w:val="19"/>
                <w:szCs w:val="19"/>
              </w:rPr>
              <w:t xml:space="preserve">View all KPIs, manage own subscriptions, run evaluations.</w:t>
            </w:r>
          </w:p>
        </w:tc>
      </w:tr>
      <w:tr>
        <w:tc>
          <w:tcPr>
            <w:shd w:fill="FFFFFF" w:color="auto" w:val="clear"/>
            <w:tcMar>
              <w:top w:type="dxa" w:w="70"/>
              <w:left w:type="dxa" w:w="120"/>
              <w:bottom w:type="dxa" w:w="70"/>
              <w:right w:type="dxa" w:w="120"/>
            </w:tcMar>
          </w:tcPr>
          <w:p>
            <w:r>
              <w:rPr>
                <w:color w:val="222933"/>
                <w:sz w:val="19"/>
                <w:szCs w:val="19"/>
              </w:rPr>
              <w:t xml:space="preserve">Viewer</w:t>
            </w:r>
          </w:p>
        </w:tc>
        <w:tc>
          <w:tcPr>
            <w:shd w:fill="FFFFFF" w:color="auto" w:val="clear"/>
            <w:tcMar>
              <w:top w:type="dxa" w:w="70"/>
              <w:left w:type="dxa" w:w="120"/>
              <w:bottom w:type="dxa" w:w="70"/>
              <w:right w:type="dxa" w:w="120"/>
            </w:tcMar>
          </w:tcPr>
          <w:p>
            <w:r>
              <w:rPr>
                <w:color w:val="222933"/>
                <w:sz w:val="19"/>
                <w:szCs w:val="19"/>
              </w:rPr>
              <w:t xml:space="preserve">KPI.Viewer</w:t>
            </w:r>
          </w:p>
        </w:tc>
        <w:tc>
          <w:tcPr>
            <w:shd w:fill="FFFFFF" w:color="auto" w:val="clear"/>
            <w:tcMar>
              <w:top w:type="dxa" w:w="70"/>
              <w:left w:type="dxa" w:w="120"/>
              <w:bottom w:type="dxa" w:w="70"/>
              <w:right w:type="dxa" w:w="120"/>
            </w:tcMar>
          </w:tcPr>
          <w:p>
            <w:r>
              <w:rPr>
                <w:color w:val="222933"/>
                <w:sz w:val="19"/>
                <w:szCs w:val="19"/>
              </w:rPr>
              <w:t xml:space="preserve">viewer</w:t>
            </w:r>
          </w:p>
        </w:tc>
        <w:tc>
          <w:tcPr>
            <w:shd w:fill="FFFFFF" w:color="auto" w:val="clear"/>
            <w:tcMar>
              <w:top w:type="dxa" w:w="70"/>
              <w:left w:type="dxa" w:w="120"/>
              <w:bottom w:type="dxa" w:w="70"/>
              <w:right w:type="dxa" w:w="120"/>
            </w:tcMar>
          </w:tcPr>
          <w:p>
            <w:r>
              <w:rPr>
                <w:color w:val="222933"/>
                <w:sz w:val="19"/>
                <w:szCs w:val="19"/>
              </w:rPr>
              <w:t xml:space="preserve">View all KPIs and manage own subscriptions.</w:t>
            </w:r>
          </w:p>
        </w:tc>
      </w:tr>
    </w:tbl>
    <w:p>
      <w:pPr>
        <w:spacing w:after="60"/>
      </w:pPr>
    </w:p>
    <w:p>
      <w:pPr>
        <w:pStyle w:val="ListParagraph"/>
        <w:numPr>
          <w:ilvl w:val="0"/>
          <w:numId w:val="2"/>
        </w:numPr>
        <w:spacing w:after="80" w:line="276"/>
      </w:pPr>
      <w:r>
        <w:rPr>
          <w:color w:val="222933"/>
          <w:sz w:val="21"/>
          <w:szCs w:val="21"/>
        </w:rPr>
        <w:t xml:space="preserve">Under Enterprise applications, open the app, go to Users and groups, and assign users (or security groups) to the appropriate role.</w:t>
      </w:r>
    </w:p>
    <w:p>
      <w:pPr>
        <w:pStyle w:val="ListParagraph"/>
        <w:numPr>
          <w:ilvl w:val="0"/>
          <w:numId w:val="2"/>
        </w:numPr>
        <w:spacing w:after="80" w:line="276"/>
      </w:pPr>
      <w:r>
        <w:rPr>
          <w:color w:val="222933"/>
          <w:sz w:val="21"/>
          <w:szCs w:val="21"/>
        </w:rPr>
        <w:t xml:space="preserve">The app maps any role name containing "admin" to admin, "manager" to manager, and everything else to viewer. On each sign-in the resolved role is synced to the app_user table, so directory changes take effect on the user's next login.</w:t>
      </w:r>
    </w:p>
    <w:tbl>
      <w:tblPr>
        <w:tblW w:type="pct" w:w="100%"/>
        <w:tblBorders>
          <w:top w:val="single" w:color="2563EB" w:sz="4"/>
          <w:left w:val="single" w:color="2563EB" w:sz="4"/>
          <w:bottom w:val="single" w:color="2563EB" w:sz="4"/>
          <w:right w:val="single" w:color="2563EB" w:sz="4"/>
          <w:insideH w:val="single" w:color="2563EB" w:sz="4"/>
          <w:insideV w:val="single" w:color="2563EB" w:sz="4"/>
        </w:tblBorders>
      </w:tblPr>
      <w:tblGrid>
        <w:gridCol w:w="100"/>
      </w:tblGrid>
      <w:tr>
        <w:tc>
          <w:tcPr>
            <w:shd w:fill="EEF2F8" w:color="auto" w:val="clear"/>
            <w:tcMar>
              <w:top w:type="dxa" w:w="120"/>
              <w:left w:type="dxa" w:w="160"/>
              <w:bottom w:type="dxa" w:w="120"/>
              <w:right w:type="dxa" w:w="160"/>
            </w:tcMar>
          </w:tcPr>
          <w:p>
            <w:pPr>
              <w:spacing w:after="60"/>
            </w:pPr>
            <w:r>
              <w:rPr>
                <w:b/>
                <w:bCs/>
                <w:color w:val="1F2A44"/>
                <w:sz w:val="20"/>
                <w:szCs w:val="20"/>
              </w:rPr>
              <w:t xml:space="preserve">How enforcement works</w:t>
            </w:r>
          </w:p>
          <w:p>
            <w:r>
              <w:rPr>
                <w:color w:val="2B3442"/>
                <w:sz w:val="20"/>
                <w:szCs w:val="20"/>
              </w:rPr>
              <w:t xml:space="preserve">Privileged actions (for example, running an evaluation) call requireRole() on the server and return 403 if the user is below the required level; the UI also hides controls the user cannot use. Identity is keyed by the Entra object id (oid), so it is stable across email or name changes.</w:t>
            </w:r>
          </w:p>
        </w:tc>
      </w:tr>
    </w:tbl>
    <w:p>
      <w:r>
        <w:br w:type="page"/>
      </w:r>
    </w:p>
    <w:p>
      <w:pPr>
        <w:pStyle w:val="Heading2"/>
        <w:spacing w:after="100" w:before="260"/>
      </w:pPr>
      <w:r>
        <w:rPr>
          <w:b/>
          <w:bCs/>
          <w:color w:val="1F2A44"/>
          <w:sz w:val="24"/>
          <w:szCs w:val="24"/>
        </w:rPr>
        <w:t xml:space="preserve">B5. Scheduled evaluation with Power Automate</w:t>
      </w:r>
    </w:p>
    <w:p>
      <w:pPr>
        <w:spacing w:after="120" w:line="288"/>
      </w:pPr>
      <w:r>
        <w:rPr>
          <w:color w:val="222933"/>
          <w:sz w:val="21"/>
          <w:szCs w:val="21"/>
        </w:rPr>
        <w:t xml:space="preserve">KPI statuses are evaluated by calling a secret-protected endpoint. In production, schedule that call with Power Automate (or Azure Logic Apps) so alerts are generated automatically instead of relying on the manual "Check now" button.</w:t>
      </w:r>
    </w:p>
    <w:p>
      <w:pPr>
        <w:spacing w:after="120" w:line="288"/>
      </w:pPr>
      <w:r>
        <w:rPr>
          <w:b/>
          <w:bCs/>
          <w:color w:val="222933"/>
          <w:sz w:val="21"/>
          <w:szCs w:val="21"/>
        </w:rPr>
        <w:t xml:space="preserve">Endpoint: </w:t>
      </w:r>
      <w:r>
        <w:rPr>
          <w:rFonts w:ascii="Consolas" w:cs="Consolas" w:eastAsia="Consolas" w:hAnsi="Consolas"/>
          <w:color w:val="1B2430"/>
          <w:sz w:val="18"/>
          <w:szCs w:val="18"/>
        </w:rPr>
        <w:t xml:space="preserve">POST https://&lt;your-app&gt;.azurewebsites.net/api/notifications/evaluate</w:t>
      </w:r>
    </w:p>
    <w:p>
      <w:pPr>
        <w:spacing w:after="120" w:line="288"/>
      </w:pPr>
      <w:r>
        <w:rPr>
          <w:b/>
          <w:bCs/>
          <w:color w:val="222933"/>
          <w:sz w:val="21"/>
          <w:szCs w:val="21"/>
        </w:rPr>
        <w:t xml:space="preserve">Auth: </w:t>
      </w:r>
      <w:r>
        <w:rPr>
          <w:rFonts w:ascii="Consolas" w:cs="Consolas" w:eastAsia="Consolas" w:hAnsi="Consolas"/>
          <w:color w:val="1B2430"/>
          <w:sz w:val="18"/>
          <w:szCs w:val="18"/>
        </w:rPr>
        <w:t xml:space="preserve">header x-cron-secret: &lt;NOTIFICATIONS_CRON_SECRET&gt;</w:t>
      </w:r>
    </w:p>
    <w:p>
      <w:pPr>
        <w:spacing w:after="60"/>
      </w:pPr>
    </w:p>
    <w:p>
      <w:pPr>
        <w:pStyle w:val="ListParagraph"/>
        <w:numPr>
          <w:ilvl w:val="0"/>
          <w:numId w:val="2"/>
        </w:numPr>
        <w:spacing w:after="80" w:line="276"/>
      </w:pPr>
      <w:r>
        <w:rPr>
          <w:color w:val="222933"/>
          <w:sz w:val="21"/>
          <w:szCs w:val="21"/>
        </w:rPr>
        <w:t xml:space="preserve">In Power Automate, create a Scheduled cloud flow. Set the recurrence (for example, daily on business days at the reporting deadline time).</w:t>
      </w:r>
    </w:p>
    <w:p>
      <w:pPr>
        <w:pStyle w:val="ListParagraph"/>
        <w:numPr>
          <w:ilvl w:val="0"/>
          <w:numId w:val="2"/>
        </w:numPr>
        <w:spacing w:after="80" w:line="276"/>
      </w:pPr>
      <w:r>
        <w:rPr>
          <w:color w:val="222933"/>
          <w:sz w:val="21"/>
          <w:szCs w:val="21"/>
        </w:rPr>
        <w:t xml:space="preserve">Add an HTTP action: Method POST, URI set to the evaluate endpoint above.</w:t>
      </w:r>
    </w:p>
    <w:p>
      <w:pPr>
        <w:pStyle w:val="ListParagraph"/>
        <w:numPr>
          <w:ilvl w:val="0"/>
          <w:numId w:val="2"/>
        </w:numPr>
        <w:spacing w:after="80" w:line="276"/>
      </w:pPr>
      <w:r>
        <w:rPr>
          <w:color w:val="222933"/>
          <w:sz w:val="21"/>
          <w:szCs w:val="21"/>
        </w:rPr>
        <w:t xml:space="preserve">Add a header x-cron-secret whose value is the same secret configured in the App Service setting NOTIFICATIONS_CRON_SECRET.</w:t>
      </w:r>
    </w:p>
    <w:p>
      <w:pPr>
        <w:pStyle w:val="ListParagraph"/>
        <w:numPr>
          <w:ilvl w:val="0"/>
          <w:numId w:val="2"/>
        </w:numPr>
        <w:spacing w:after="80" w:line="276"/>
      </w:pPr>
      <w:r>
        <w:rPr>
          <w:color w:val="222933"/>
          <w:sz w:val="21"/>
          <w:szCs w:val="21"/>
        </w:rPr>
        <w:t xml:space="preserve">Save and run the flow once. A 200 response with an event summary confirms it works; the notification inbox will show any new alerts.</w:t>
      </w:r>
    </w:p>
    <w:p>
      <w:pPr>
        <w:pStyle w:val="ListParagraph"/>
        <w:numPr>
          <w:ilvl w:val="0"/>
          <w:numId w:val="2"/>
        </w:numPr>
        <w:spacing w:after="80" w:line="276"/>
      </w:pPr>
      <w:r>
        <w:rPr>
          <w:color w:val="222933"/>
          <w:sz w:val="21"/>
          <w:szCs w:val="21"/>
        </w:rPr>
        <w:t xml:space="preserve">Optional: add a second scheduled flow for the weekly reminder cadence.</w:t>
      </w:r>
    </w:p>
    <w:tbl>
      <w:tblPr>
        <w:tblW w:type="pct" w:w="100%"/>
        <w:tblBorders>
          <w:top w:val="single" w:color="2563EB" w:sz="4"/>
          <w:left w:val="single" w:color="2563EB" w:sz="4"/>
          <w:bottom w:val="single" w:color="2563EB" w:sz="4"/>
          <w:right w:val="single" w:color="2563EB" w:sz="4"/>
          <w:insideH w:val="single" w:color="2563EB" w:sz="4"/>
          <w:insideV w:val="single" w:color="2563EB" w:sz="4"/>
        </w:tblBorders>
      </w:tblPr>
      <w:tblGrid>
        <w:gridCol w:w="100"/>
      </w:tblGrid>
      <w:tr>
        <w:tc>
          <w:tcPr>
            <w:shd w:fill="EEF2F8" w:color="auto" w:val="clear"/>
            <w:tcMar>
              <w:top w:type="dxa" w:w="120"/>
              <w:left w:type="dxa" w:w="160"/>
              <w:bottom w:type="dxa" w:w="120"/>
              <w:right w:type="dxa" w:w="160"/>
            </w:tcMar>
          </w:tcPr>
          <w:p>
            <w:pPr>
              <w:spacing w:after="60"/>
            </w:pPr>
            <w:r>
              <w:rPr>
                <w:b/>
                <w:bCs/>
                <w:color w:val="1F2A44"/>
                <w:sz w:val="20"/>
                <w:szCs w:val="20"/>
              </w:rPr>
              <w:t xml:space="preserve">Baseline behaviour</w:t>
            </w:r>
          </w:p>
          <w:p>
            <w:r>
              <w:rPr>
                <w:color w:val="2B3442"/>
                <w:sz w:val="20"/>
                <w:szCs w:val="20"/>
              </w:rPr>
              <w:t xml:space="preserve">The very first evaluation records a silent baseline snapshot and does not raise historical alerts, so enabling the schedule will not flood users. Subsequent runs only alert on genuine status transitions and are de-duplicated per month.</w:t>
            </w:r>
          </w:p>
        </w:tc>
      </w:tr>
    </w:tbl>
    <w:tbl>
      <w:tblPr>
        <w:tblW w:type="pct" w:w="100%"/>
        <w:tblBorders>
          <w:top w:val="single" w:color="2563EB" w:sz="4"/>
          <w:left w:val="single" w:color="2563EB" w:sz="4"/>
          <w:bottom w:val="single" w:color="2563EB" w:sz="4"/>
          <w:right w:val="single" w:color="2563EB" w:sz="4"/>
          <w:insideH w:val="single" w:color="2563EB" w:sz="4"/>
          <w:insideV w:val="single" w:color="2563EB" w:sz="4"/>
        </w:tblBorders>
      </w:tblPr>
      <w:tblGrid>
        <w:gridCol w:w="100"/>
      </w:tblGrid>
      <w:tr>
        <w:tc>
          <w:tcPr>
            <w:shd w:fill="EEF2F8" w:color="auto" w:val="clear"/>
            <w:tcMar>
              <w:top w:type="dxa" w:w="120"/>
              <w:left w:type="dxa" w:w="160"/>
              <w:bottom w:type="dxa" w:w="120"/>
              <w:right w:type="dxa" w:w="160"/>
            </w:tcMar>
          </w:tcPr>
          <w:p>
            <w:pPr>
              <w:spacing w:after="60"/>
            </w:pPr>
            <w:r>
              <w:rPr>
                <w:b/>
                <w:bCs/>
                <w:color w:val="1F2A44"/>
                <w:sz w:val="20"/>
                <w:szCs w:val="20"/>
              </w:rPr>
              <w:t xml:space="preserve">Logic Apps alternative</w:t>
            </w:r>
          </w:p>
          <w:p>
            <w:r>
              <w:rPr>
                <w:color w:val="2B3442"/>
                <w:sz w:val="20"/>
                <w:szCs w:val="20"/>
              </w:rPr>
              <w:t xml:space="preserve">If your organization standardizes on Azure Logic Apps, use a Recurrence trigger plus an HTTP action with the same URI and x-cron-secret header — the configuration is identical.</w:t>
            </w:r>
          </w:p>
        </w:tc>
      </w:tr>
    </w:tbl>
    <w:p>
      <w:r>
        <w:br w:type="page"/>
      </w:r>
    </w:p>
    <w:p>
      <w:pPr>
        <w:pStyle w:val="Heading2"/>
        <w:spacing w:after="100" w:before="260"/>
      </w:pPr>
      <w:r>
        <w:rPr>
          <w:b/>
          <w:bCs/>
          <w:color w:val="1F2A44"/>
          <w:sz w:val="24"/>
          <w:szCs w:val="24"/>
        </w:rPr>
        <w:t xml:space="preserve">B6. Environment variables (App Service application settings)</w:t>
      </w:r>
    </w:p>
    <w:tbl>
      <w:tblPr>
        <w:tblW w:type="pct" w:w="100%"/>
        <w:tblBorders>
          <w:top w:val="single" w:color="D5DBE5" w:sz="4"/>
          <w:left w:val="single" w:color="D5DBE5" w:sz="4"/>
          <w:bottom w:val="single" w:color="D5DBE5" w:sz="4"/>
          <w:right w:val="single" w:color="D5DBE5" w:sz="4"/>
          <w:insideH w:val="single" w:color="D5DBE5" w:sz="4"/>
          <w:insideV w:val="single" w:color="D5DBE5" w:sz="4"/>
        </w:tblBorders>
      </w:tblPr>
      <w:tblGrid>
        <w:gridCol w:w="4200"/>
        <w:gridCol w:w="5200"/>
      </w:tblGrid>
      <w:tr>
        <w:trPr>
          <w:tblHeader/>
        </w:trPr>
        <w:tc>
          <w:tcPr>
            <w:shd w:fill="1F2A44" w:color="auto" w:val="clear"/>
            <w:tcMar>
              <w:top w:type="dxa" w:w="80"/>
              <w:left w:type="dxa" w:w="120"/>
              <w:bottom w:type="dxa" w:w="80"/>
              <w:right w:type="dxa" w:w="120"/>
            </w:tcMar>
          </w:tcPr>
          <w:p>
            <w:r>
              <w:rPr>
                <w:b/>
                <w:bCs/>
                <w:color w:val="FFFFFF"/>
                <w:sz w:val="19"/>
                <w:szCs w:val="19"/>
              </w:rPr>
              <w:t xml:space="preserve">Setting</w:t>
            </w:r>
          </w:p>
        </w:tc>
        <w:tc>
          <w:tcPr>
            <w:shd w:fill="1F2A44" w:color="auto" w:val="clear"/>
            <w:tcMar>
              <w:top w:type="dxa" w:w="80"/>
              <w:left w:type="dxa" w:w="120"/>
              <w:bottom w:type="dxa" w:w="80"/>
              <w:right w:type="dxa" w:w="120"/>
            </w:tcMar>
          </w:tcPr>
          <w:p>
            <w:r>
              <w:rPr>
                <w:b/>
                <w:bCs/>
                <w:color w:val="FFFFFF"/>
                <w:sz w:val="19"/>
                <w:szCs w:val="19"/>
              </w:rPr>
              <w:t xml:space="preserve">Purpose</w:t>
            </w:r>
          </w:p>
        </w:tc>
      </w:tr>
      <w:tr>
        <w:tc>
          <w:tcPr>
            <w:shd w:fill="FFFFFF" w:color="auto" w:val="clear"/>
            <w:tcMar>
              <w:top w:type="dxa" w:w="70"/>
              <w:left w:type="dxa" w:w="120"/>
              <w:bottom w:type="dxa" w:w="70"/>
              <w:right w:type="dxa" w:w="120"/>
            </w:tcMar>
          </w:tcPr>
          <w:p>
            <w:r>
              <w:rPr>
                <w:color w:val="222933"/>
                <w:sz w:val="19"/>
                <w:szCs w:val="19"/>
              </w:rPr>
              <w:t xml:space="preserve">DATABASE_URL</w:t>
            </w:r>
          </w:p>
        </w:tc>
        <w:tc>
          <w:tcPr>
            <w:shd w:fill="FFFFFF" w:color="auto" w:val="clear"/>
            <w:tcMar>
              <w:top w:type="dxa" w:w="70"/>
              <w:left w:type="dxa" w:w="120"/>
              <w:bottom w:type="dxa" w:w="70"/>
              <w:right w:type="dxa" w:w="120"/>
            </w:tcMar>
          </w:tcPr>
          <w:p>
            <w:r>
              <w:rPr>
                <w:color w:val="222933"/>
                <w:sz w:val="19"/>
                <w:szCs w:val="19"/>
              </w:rPr>
              <w:t xml:space="preserve">PostgreSQL connection string (…postgres.database.azure.com…?sslmode=require).</w:t>
            </w:r>
          </w:p>
        </w:tc>
      </w:tr>
      <w:tr>
        <w:tc>
          <w:tcPr>
            <w:shd w:fill="F6F8FC" w:color="auto" w:val="clear"/>
            <w:tcMar>
              <w:top w:type="dxa" w:w="70"/>
              <w:left w:type="dxa" w:w="120"/>
              <w:bottom w:type="dxa" w:w="70"/>
              <w:right w:type="dxa" w:w="120"/>
            </w:tcMar>
          </w:tcPr>
          <w:p>
            <w:r>
              <w:rPr>
                <w:color w:val="222933"/>
                <w:sz w:val="19"/>
                <w:szCs w:val="19"/>
              </w:rPr>
              <w:t xml:space="preserve">AZURE_PG_USE_ENTRA</w:t>
            </w:r>
          </w:p>
        </w:tc>
        <w:tc>
          <w:tcPr>
            <w:shd w:fill="F6F8FC" w:color="auto" w:val="clear"/>
            <w:tcMar>
              <w:top w:type="dxa" w:w="70"/>
              <w:left w:type="dxa" w:w="120"/>
              <w:bottom w:type="dxa" w:w="70"/>
              <w:right w:type="dxa" w:w="120"/>
            </w:tcMar>
          </w:tcPr>
          <w:p>
            <w:r>
              <w:rPr>
                <w:color w:val="222933"/>
                <w:sz w:val="19"/>
                <w:szCs w:val="19"/>
              </w:rPr>
              <w:t xml:space="preserve">true to authenticate to PostgreSQL with a managed-identity token instead of a password.</w:t>
            </w:r>
          </w:p>
        </w:tc>
      </w:tr>
      <w:tr>
        <w:tc>
          <w:tcPr>
            <w:shd w:fill="FFFFFF" w:color="auto" w:val="clear"/>
            <w:tcMar>
              <w:top w:type="dxa" w:w="70"/>
              <w:left w:type="dxa" w:w="120"/>
              <w:bottom w:type="dxa" w:w="70"/>
              <w:right w:type="dxa" w:w="120"/>
            </w:tcMar>
          </w:tcPr>
          <w:p>
            <w:r>
              <w:rPr>
                <w:color w:val="222933"/>
                <w:sz w:val="19"/>
                <w:szCs w:val="19"/>
              </w:rPr>
              <w:t xml:space="preserve">AZURE_PG_SSL_CA</w:t>
            </w:r>
          </w:p>
        </w:tc>
        <w:tc>
          <w:tcPr>
            <w:shd w:fill="FFFFFF" w:color="auto" w:val="clear"/>
            <w:tcMar>
              <w:top w:type="dxa" w:w="70"/>
              <w:left w:type="dxa" w:w="120"/>
              <w:bottom w:type="dxa" w:w="70"/>
              <w:right w:type="dxa" w:w="120"/>
            </w:tcMar>
          </w:tcPr>
          <w:p>
            <w:r>
              <w:rPr>
                <w:color w:val="222933"/>
                <w:sz w:val="19"/>
                <w:szCs w:val="19"/>
              </w:rPr>
              <w:t xml:space="preserve">Optional CA bundle (PEM or file path) for verify-full TLS; blank uses Node's trust store.</w:t>
            </w:r>
          </w:p>
        </w:tc>
      </w:tr>
      <w:tr>
        <w:tc>
          <w:tcPr>
            <w:shd w:fill="F6F8FC" w:color="auto" w:val="clear"/>
            <w:tcMar>
              <w:top w:type="dxa" w:w="70"/>
              <w:left w:type="dxa" w:w="120"/>
              <w:bottom w:type="dxa" w:w="70"/>
              <w:right w:type="dxa" w:w="120"/>
            </w:tcMar>
          </w:tcPr>
          <w:p>
            <w:r>
              <w:rPr>
                <w:color w:val="222933"/>
                <w:sz w:val="19"/>
                <w:szCs w:val="19"/>
              </w:rPr>
              <w:t xml:space="preserve">AUTH_REQUIRE_ENTRA</w:t>
            </w:r>
          </w:p>
        </w:tc>
        <w:tc>
          <w:tcPr>
            <w:shd w:fill="F6F8FC" w:color="auto" w:val="clear"/>
            <w:tcMar>
              <w:top w:type="dxa" w:w="70"/>
              <w:left w:type="dxa" w:w="120"/>
              <w:bottom w:type="dxa" w:w="70"/>
              <w:right w:type="dxa" w:w="120"/>
            </w:tcMar>
          </w:tcPr>
          <w:p>
            <w:r>
              <w:rPr>
                <w:color w:val="222933"/>
                <w:sz w:val="19"/>
                <w:szCs w:val="19"/>
              </w:rPr>
              <w:t xml:space="preserve">true in production to force Entra sign-in.</w:t>
            </w:r>
          </w:p>
        </w:tc>
      </w:tr>
      <w:tr>
        <w:tc>
          <w:tcPr>
            <w:shd w:fill="FFFFFF" w:color="auto" w:val="clear"/>
            <w:tcMar>
              <w:top w:type="dxa" w:w="70"/>
              <w:left w:type="dxa" w:w="120"/>
              <w:bottom w:type="dxa" w:w="70"/>
              <w:right w:type="dxa" w:w="120"/>
            </w:tcMar>
          </w:tcPr>
          <w:p>
            <w:r>
              <w:rPr>
                <w:color w:val="222933"/>
                <w:sz w:val="19"/>
                <w:szCs w:val="19"/>
              </w:rPr>
              <w:t xml:space="preserve">NOTIFICATIONS_CRON_SECRET</w:t>
            </w:r>
          </w:p>
        </w:tc>
        <w:tc>
          <w:tcPr>
            <w:shd w:fill="FFFFFF" w:color="auto" w:val="clear"/>
            <w:tcMar>
              <w:top w:type="dxa" w:w="70"/>
              <w:left w:type="dxa" w:w="120"/>
              <w:bottom w:type="dxa" w:w="70"/>
              <w:right w:type="dxa" w:w="120"/>
            </w:tcMar>
          </w:tcPr>
          <w:p>
            <w:r>
              <w:rPr>
                <w:color w:val="222933"/>
                <w:sz w:val="19"/>
                <w:szCs w:val="19"/>
              </w:rPr>
              <w:t xml:space="preserve">Shared secret required by the evaluate endpoint (used by Power Automate).</w:t>
            </w:r>
          </w:p>
        </w:tc>
      </w:tr>
      <w:tr>
        <w:tc>
          <w:tcPr>
            <w:shd w:fill="F6F8FC" w:color="auto" w:val="clear"/>
            <w:tcMar>
              <w:top w:type="dxa" w:w="70"/>
              <w:left w:type="dxa" w:w="120"/>
              <w:bottom w:type="dxa" w:w="70"/>
              <w:right w:type="dxa" w:w="120"/>
            </w:tcMar>
          </w:tcPr>
          <w:p>
            <w:r>
              <w:rPr>
                <w:color w:val="222933"/>
                <w:sz w:val="19"/>
                <w:szCs w:val="19"/>
              </w:rPr>
              <w:t xml:space="preserve">NOTIFICATIONS_EMAIL_ENABLED</w:t>
            </w:r>
          </w:p>
        </w:tc>
        <w:tc>
          <w:tcPr>
            <w:shd w:fill="F6F8FC" w:color="auto" w:val="clear"/>
            <w:tcMar>
              <w:top w:type="dxa" w:w="70"/>
              <w:left w:type="dxa" w:w="120"/>
              <w:bottom w:type="dxa" w:w="70"/>
              <w:right w:type="dxa" w:w="120"/>
            </w:tcMar>
          </w:tcPr>
          <w:p>
            <w:r>
              <w:rPr>
                <w:color w:val="222933"/>
                <w:sz w:val="19"/>
                <w:szCs w:val="19"/>
              </w:rPr>
              <w:t xml:space="preserve">Turn on Microsoft Graph email delivery (Phase 4).</w:t>
            </w:r>
          </w:p>
        </w:tc>
      </w:tr>
      <w:tr>
        <w:tc>
          <w:tcPr>
            <w:shd w:fill="FFFFFF" w:color="auto" w:val="clear"/>
            <w:tcMar>
              <w:top w:type="dxa" w:w="70"/>
              <w:left w:type="dxa" w:w="120"/>
              <w:bottom w:type="dxa" w:w="70"/>
              <w:right w:type="dxa" w:w="120"/>
            </w:tcMar>
          </w:tcPr>
          <w:p>
            <w:r>
              <w:rPr>
                <w:color w:val="222933"/>
                <w:sz w:val="19"/>
                <w:szCs w:val="19"/>
              </w:rPr>
              <w:t xml:space="preserve">NOTIFICATIONS_TEAMS_ENABLED</w:t>
            </w:r>
          </w:p>
        </w:tc>
        <w:tc>
          <w:tcPr>
            <w:shd w:fill="FFFFFF" w:color="auto" w:val="clear"/>
            <w:tcMar>
              <w:top w:type="dxa" w:w="70"/>
              <w:left w:type="dxa" w:w="120"/>
              <w:bottom w:type="dxa" w:w="70"/>
              <w:right w:type="dxa" w:w="120"/>
            </w:tcMar>
          </w:tcPr>
          <w:p>
            <w:r>
              <w:rPr>
                <w:color w:val="222933"/>
                <w:sz w:val="19"/>
                <w:szCs w:val="19"/>
              </w:rPr>
              <w:t xml:space="preserve">Turn on Microsoft Teams delivery (Phase 4).</w:t>
            </w:r>
          </w:p>
        </w:tc>
      </w:tr>
      <w:tr>
        <w:tc>
          <w:tcPr>
            <w:shd w:fill="F6F8FC" w:color="auto" w:val="clear"/>
            <w:tcMar>
              <w:top w:type="dxa" w:w="70"/>
              <w:left w:type="dxa" w:w="120"/>
              <w:bottom w:type="dxa" w:w="70"/>
              <w:right w:type="dxa" w:w="120"/>
            </w:tcMar>
          </w:tcPr>
          <w:p>
            <w:r>
              <w:rPr>
                <w:color w:val="222933"/>
                <w:sz w:val="19"/>
                <w:szCs w:val="19"/>
              </w:rPr>
              <w:t xml:space="preserve">KPI_DEFAULT_TIMEZONE</w:t>
            </w:r>
          </w:p>
        </w:tc>
        <w:tc>
          <w:tcPr>
            <w:shd w:fill="F6F8FC" w:color="auto" w:val="clear"/>
            <w:tcMar>
              <w:top w:type="dxa" w:w="70"/>
              <w:left w:type="dxa" w:w="120"/>
              <w:bottom w:type="dxa" w:w="70"/>
              <w:right w:type="dxa" w:w="120"/>
            </w:tcMar>
          </w:tcPr>
          <w:p>
            <w:r>
              <w:rPr>
                <w:color w:val="222933"/>
                <w:sz w:val="19"/>
                <w:szCs w:val="19"/>
              </w:rPr>
              <w:t xml:space="preserve">Reporting timezone (America/Halifax).</w:t>
            </w:r>
          </w:p>
        </w:tc>
      </w:tr>
      <w:tr>
        <w:tc>
          <w:tcPr>
            <w:shd w:fill="FFFFFF" w:color="auto" w:val="clear"/>
            <w:tcMar>
              <w:top w:type="dxa" w:w="70"/>
              <w:left w:type="dxa" w:w="120"/>
              <w:bottom w:type="dxa" w:w="70"/>
              <w:right w:type="dxa" w:w="120"/>
            </w:tcMar>
          </w:tcPr>
          <w:p>
            <w:r>
              <w:rPr>
                <w:color w:val="222933"/>
                <w:sz w:val="19"/>
                <w:szCs w:val="19"/>
              </w:rPr>
              <w:t xml:space="preserve">NOTIFY_DEV_USER_*</w:t>
            </w:r>
          </w:p>
        </w:tc>
        <w:tc>
          <w:tcPr>
            <w:shd w:fill="FFFFFF" w:color="auto" w:val="clear"/>
            <w:tcMar>
              <w:top w:type="dxa" w:w="70"/>
              <w:left w:type="dxa" w:w="120"/>
              <w:bottom w:type="dxa" w:w="70"/>
              <w:right w:type="dxa" w:w="120"/>
            </w:tcMar>
          </w:tcPr>
          <w:p>
            <w:r>
              <w:rPr>
                <w:color w:val="222933"/>
                <w:sz w:val="19"/>
                <w:szCs w:val="19"/>
              </w:rPr>
              <w:t xml:space="preserve">Local dev fallback identity only; ignored once Entra sign-in is active.</w:t>
            </w:r>
          </w:p>
        </w:tc>
      </w:tr>
    </w:tbl>
    <w:p>
      <w:pPr>
        <w:pStyle w:val="Heading2"/>
        <w:spacing w:after="100" w:before="260"/>
      </w:pPr>
      <w:r>
        <w:rPr>
          <w:b/>
          <w:bCs/>
          <w:color w:val="1F2A44"/>
          <w:sz w:val="24"/>
          <w:szCs w:val="24"/>
        </w:rPr>
        <w:t xml:space="preserve">B7. Go-live checklist</w:t>
      </w:r>
    </w:p>
    <w:p>
      <w:pPr>
        <w:pStyle w:val="ListParagraph"/>
        <w:numPr>
          <w:ilvl w:val="0"/>
          <w:numId w:val="2"/>
        </w:numPr>
        <w:spacing w:after="80" w:line="276"/>
      </w:pPr>
      <w:r>
        <w:rPr>
          <w:color w:val="222933"/>
          <w:sz w:val="21"/>
          <w:szCs w:val="21"/>
        </w:rPr>
        <w:t xml:space="preserve">PostgreSQL Flexible Server provisioned in Canada East with TLS required; schema.sql applied.</w:t>
      </w:r>
    </w:p>
    <w:p>
      <w:pPr>
        <w:pStyle w:val="ListParagraph"/>
        <w:numPr>
          <w:ilvl w:val="0"/>
          <w:numId w:val="2"/>
        </w:numPr>
        <w:spacing w:after="80" w:line="276"/>
      </w:pPr>
      <w:r>
        <w:rPr>
          <w:color w:val="222933"/>
          <w:sz w:val="21"/>
          <w:szCs w:val="21"/>
        </w:rPr>
        <w:t xml:space="preserve">App Service deployed and reading live KPI data from SharePoint via Graph.</w:t>
      </w:r>
    </w:p>
    <w:p>
      <w:pPr>
        <w:pStyle w:val="ListParagraph"/>
        <w:numPr>
          <w:ilvl w:val="0"/>
          <w:numId w:val="2"/>
        </w:numPr>
        <w:spacing w:after="80" w:line="276"/>
      </w:pPr>
      <w:r>
        <w:rPr>
          <w:color w:val="222933"/>
          <w:sz w:val="21"/>
          <w:szCs w:val="21"/>
        </w:rPr>
        <w:t xml:space="preserve">Easy Auth enabled with the Microsoft provider; AUTH_REQUIRE_ENTRA=true.</w:t>
      </w:r>
    </w:p>
    <w:p>
      <w:pPr>
        <w:pStyle w:val="ListParagraph"/>
        <w:numPr>
          <w:ilvl w:val="0"/>
          <w:numId w:val="2"/>
        </w:numPr>
        <w:spacing w:after="80" w:line="276"/>
      </w:pPr>
      <w:r>
        <w:rPr>
          <w:color w:val="222933"/>
          <w:sz w:val="21"/>
          <w:szCs w:val="21"/>
        </w:rPr>
        <w:t xml:space="preserve">Three App Roles created and assigned to users or groups; role sync verified on the Profile tab.</w:t>
      </w:r>
    </w:p>
    <w:p>
      <w:pPr>
        <w:pStyle w:val="ListParagraph"/>
        <w:numPr>
          <w:ilvl w:val="0"/>
          <w:numId w:val="2"/>
        </w:numPr>
        <w:spacing w:after="80" w:line="276"/>
      </w:pPr>
      <w:r>
        <w:rPr>
          <w:color w:val="222933"/>
          <w:sz w:val="21"/>
          <w:szCs w:val="21"/>
        </w:rPr>
        <w:t xml:space="preserve">Power Automate flow scheduled and returning 200 from the evaluate endpoint.</w:t>
      </w:r>
    </w:p>
    <w:p>
      <w:pPr>
        <w:pStyle w:val="ListParagraph"/>
        <w:numPr>
          <w:ilvl w:val="0"/>
          <w:numId w:val="2"/>
        </w:numPr>
        <w:spacing w:after="80" w:line="276"/>
      </w:pPr>
      <w:r>
        <w:rPr>
          <w:color w:val="222933"/>
          <w:sz w:val="21"/>
          <w:szCs w:val="21"/>
        </w:rPr>
        <w:t xml:space="preserve">A test status change produces a dashboard alert; email/Teams enabled if in scope.</w:t>
      </w:r>
    </w:p>
    <w:p>
      <w:pPr>
        <w:pStyle w:val="ListParagraph"/>
        <w:numPr>
          <w:ilvl w:val="0"/>
          <w:numId w:val="2"/>
        </w:numPr>
        <w:spacing w:after="80" w:line="276"/>
      </w:pPr>
      <w:r>
        <w:rPr>
          <w:color w:val="222933"/>
          <w:sz w:val="21"/>
          <w:szCs w:val="21"/>
        </w:rPr>
        <w:t xml:space="preserve">Data residency, backup, and high-availability settings confirmed against contract requirements.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5" w:sz="4"/>
      </w:pBdr>
      <w:jc w:val="center"/>
    </w:pPr>
    <w:r>
      <w:rPr>
        <w:color w:val="5B6472"/>
        <w:sz w:val="16"/>
        <w:szCs w:val="16"/>
      </w:rPr>
      <w:t xml:space="preserve">CNS HIAA Airport KPI Dashboard  ·  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5" w:sz="4"/>
      </w:pBdr>
      <w:spacing w:after="40"/>
      <w:jc w:val="right"/>
    </w:pPr>
    <w:r>
      <w:rPr>
        <w:color w:val="5B6472"/>
        <w:sz w:val="16"/>
        <w:szCs w:val="16"/>
      </w:rPr>
      <w:t xml:space="preserve">CNS HIAA KPI Dashboard — Design &amp; Azure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HIAA KPI Dashboard — Design &amp; Azure Deployment Guide</dc:title>
  <dc:creator>CNS HIAA KPI Dashboard</dc:creator>
  <cp:lastModifiedBy>Un-named</cp:lastModifiedBy>
  <cp:revision>1</cp:revision>
  <dcterms:created xsi:type="dcterms:W3CDTF">2026-08-01T22:52:02.740Z</dcterms:created>
  <dcterms:modified xsi:type="dcterms:W3CDTF">2026-08-01T22:52:02.740Z</dcterms:modified>
</cp:coreProperties>
</file>

<file path=docProps/custom.xml><?xml version="1.0" encoding="utf-8"?>
<Properties xmlns="http://schemas.openxmlformats.org/officeDocument/2006/custom-properties" xmlns:vt="http://schemas.openxmlformats.org/officeDocument/2006/docPropsVTypes"/>
</file>