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spacing w:after="60"/>
        <w:jc w:val="center"/>
      </w:pPr>
      <w:r>
        <w:rPr>
          <w:b/>
          <w:bCs/>
          <w:color w:val="1F2A44"/>
          <w:sz w:val="40"/>
          <w:szCs w:val="40"/>
        </w:rPr>
        <w:t xml:space="preserve">CNS HIAA</w:t>
      </w:r>
    </w:p>
    <w:p>
      <w:pPr>
        <w:spacing w:after="400"/>
        <w:jc w:val="center"/>
      </w:pPr>
      <w:r>
        <w:rPr>
          <w:color w:val="5B6472"/>
          <w:sz w:val="22"/>
          <w:szCs w:val="22"/>
        </w:rPr>
        <w:t xml:space="preserve">Airport KPI Dashboard</w:t>
      </w:r>
    </w:p>
    <w:p>
      <w:pPr>
        <w:spacing w:after="120"/>
        <w:jc w:val="center"/>
      </w:pPr>
      <w:r>
        <w:rPr>
          <w:b/>
          <w:bCs/>
          <w:color w:val="1F2A44"/>
          <w:sz w:val="52"/>
          <w:szCs w:val="52"/>
        </w:rPr>
        <w:t xml:space="preserve">IT &amp; Technical Guide</w:t>
      </w:r>
    </w:p>
    <w:p>
      <w:pPr>
        <w:spacing w:after="500"/>
        <w:jc w:val="center"/>
      </w:pPr>
      <w:r>
        <w:rPr>
          <w:color w:val="2563EB"/>
          <w:sz w:val="26"/>
          <w:szCs w:val="26"/>
        </w:rPr>
        <w:t xml:space="preserve">Architecture, Data Pipeline, Deployment &amp; Operations</w:t>
      </w:r>
    </w:p>
    <w:p>
      <w:pPr>
        <w:spacing w:after="60"/>
        <w:jc w:val="center"/>
      </w:pPr>
      <w:r>
        <w:rPr>
          <w:b/>
          <w:bCs/>
          <w:color w:val="1F2A44"/>
          <w:sz w:val="22"/>
          <w:szCs w:val="22"/>
        </w:rPr>
        <w:t xml:space="preserve">For IT administrators and developers</w:t>
      </w:r>
    </w:p>
    <w:p>
      <w:pPr>
        <w:jc w:val="center"/>
      </w:pPr>
      <w:r>
        <w:rPr>
          <w:color w:val="5B6472"/>
          <w:sz w:val="20"/>
          <w:szCs w:val="20"/>
        </w:rPr>
        <w:t xml:space="preserve">Version 1.0  |  July 2026</w:t>
      </w:r>
    </w:p>
    <w:p>
      <w:r>
        <w:br w:type="page"/>
      </w:r>
    </w:p>
    <w:p>
      <w:pPr>
        <w:pStyle w:val="Heading1"/>
        <w:spacing w:after="140" w:before="360"/>
      </w:pPr>
      <w:r>
        <w:rPr>
          <w:b/>
          <w:bCs/>
          <w:color w:val="1F2A44"/>
          <w:sz w:val="30"/>
          <w:szCs w:val="30"/>
        </w:rPr>
        <w:t xml:space="preserve">1. Overview</w:t>
      </w:r>
    </w:p>
    <w:p>
      <w:pPr>
        <w:spacing w:after="120" w:line="288"/>
      </w:pPr>
      <w:r>
        <w:rPr>
          <w:color w:val="222933"/>
          <w:sz w:val="21"/>
          <w:szCs w:val="21"/>
        </w:rPr>
        <w:t xml:space="preserve">The CNS HIAA Airport KPI Dashboard is a Next.js (App Router) application. It reads 21 KPI workbooks (KPI-01 … KPI-21) from SharePoint (or bundled local fallbacks), computes each KPI and an overall portfolio status server-side, and renders responsive dashboards, an executive summary, printable reports, and a notification system backed by Azure Database for PostgreSQL Flexible Server.</w:t>
      </w:r>
    </w:p>
    <w:tbl>
      <w:tblPr>
        <w:tblW w:type="pct" w:w="100%"/>
        <w:tblBorders>
          <w:top w:val="single" w:color="2563EB" w:sz="4"/>
          <w:left w:val="single" w:color="2563EB" w:sz="4"/>
          <w:bottom w:val="single" w:color="2563EB" w:sz="4"/>
          <w:right w:val="single" w:color="2563EB" w:sz="4"/>
          <w:insideH w:val="single" w:color="2563EB" w:sz="4"/>
          <w:insideV w:val="single" w:color="2563EB" w:sz="4"/>
        </w:tblBorders>
      </w:tblPr>
      <w:tblGrid>
        <w:gridCol w:w="100"/>
      </w:tblGrid>
      <w:tr>
        <w:tc>
          <w:tcPr>
            <w:shd w:fill="EEF2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2A44"/>
                <w:sz w:val="20"/>
                <w:szCs w:val="20"/>
              </w:rPr>
              <w:t xml:space="preserve">Key principle: spreadsheets drive everything</w:t>
            </w:r>
          </w:p>
          <w:p>
            <w:r>
              <w:rPr>
                <w:color w:val="2B3442"/>
                <w:sz w:val="20"/>
                <w:szCs w:val="20"/>
              </w:rPr>
              <w:t xml:space="preserve">Every KPI value, chart, and status — and therefore every notification — is derived from the KPI workbooks. There is no separate data store for KPI values; the .xlsx files are the single source of truth.</w:t>
            </w:r>
          </w:p>
        </w:tc>
      </w:tr>
    </w:tbl>
    <w:p>
      <w:pPr>
        <w:pStyle w:val="Heading2"/>
        <w:spacing w:after="100" w:before="260"/>
      </w:pPr>
      <w:r>
        <w:rPr>
          <w:b/>
          <w:bCs/>
          <w:color w:val="1F2A44"/>
          <w:sz w:val="24"/>
          <w:szCs w:val="24"/>
        </w:rPr>
        <w:t xml:space="preserve">1.1 Technology stack</w:t>
      </w:r>
    </w:p>
    <w:tbl>
      <w:tblPr>
        <w:tblW w:type="pct" w:w="100%"/>
        <w:tblBorders>
          <w:top w:val="single" w:color="D5DBE5" w:sz="4"/>
          <w:left w:val="single" w:color="D5DBE5" w:sz="4"/>
          <w:bottom w:val="single" w:color="D5DBE5" w:sz="4"/>
          <w:right w:val="single" w:color="D5DBE5" w:sz="4"/>
          <w:insideH w:val="single" w:color="D5DBE5" w:sz="4"/>
          <w:insideV w:val="single" w:color="D5DBE5" w:sz="4"/>
        </w:tblBorders>
      </w:tblPr>
      <w:tblGrid>
        <w:gridCol w:w="2800"/>
        <w:gridCol w:w="6600"/>
      </w:tblGrid>
      <w:tr>
        <w:trPr>
          <w:tblHeader/>
        </w:trPr>
        <w:tc>
          <w:tcPr>
            <w:shd w:fill="1F2A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Layer</w:t>
            </w:r>
          </w:p>
        </w:tc>
        <w:tc>
          <w:tcPr>
            <w:shd w:fill="1F2A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Technology</w:t>
            </w:r>
          </w:p>
        </w:tc>
      </w:tr>
      <w:tr>
        <w:tc>
          <w:tcPr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222933"/>
                <w:sz w:val="19"/>
                <w:szCs w:val="19"/>
              </w:rPr>
              <w:t xml:space="preserve">Framework</w:t>
            </w:r>
          </w:p>
        </w:tc>
        <w:tc>
          <w:tcPr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222933"/>
                <w:sz w:val="19"/>
                <w:szCs w:val="19"/>
              </w:rPr>
              <w:t xml:space="preserve">Next.js 16 (App Router, React Server Components), TypeScript</w:t>
            </w:r>
          </w:p>
        </w:tc>
      </w:tr>
      <w:tr>
        <w:tc>
          <w:tcPr>
            <w:shd w:fill="F6F8F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222933"/>
                <w:sz w:val="19"/>
                <w:szCs w:val="19"/>
              </w:rPr>
              <w:t xml:space="preserve">Hosting</w:t>
            </w:r>
          </w:p>
        </w:tc>
        <w:tc>
          <w:tcPr>
            <w:shd w:fill="F6F8F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222933"/>
                <w:sz w:val="19"/>
                <w:szCs w:val="19"/>
              </w:rPr>
              <w:t xml:space="preserve">Vercel (serverless / edge-ready)</w:t>
            </w:r>
          </w:p>
        </w:tc>
      </w:tr>
      <w:tr>
        <w:tc>
          <w:tcPr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222933"/>
                <w:sz w:val="19"/>
                <w:szCs w:val="19"/>
              </w:rPr>
              <w:t xml:space="preserve">Data source</w:t>
            </w:r>
          </w:p>
        </w:tc>
        <w:tc>
          <w:tcPr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222933"/>
                <w:sz w:val="19"/>
                <w:szCs w:val="19"/>
              </w:rPr>
              <w:t xml:space="preserve">Microsoft SharePoint document library via Microsoft Graph (app-only)</w:t>
            </w:r>
          </w:p>
        </w:tc>
      </w:tr>
      <w:tr>
        <w:tc>
          <w:tcPr>
            <w:shd w:fill="F6F8F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222933"/>
                <w:sz w:val="19"/>
                <w:szCs w:val="19"/>
              </w:rPr>
              <w:t xml:space="preserve">Spreadsheet parsing</w:t>
            </w:r>
          </w:p>
        </w:tc>
        <w:tc>
          <w:tcPr>
            <w:shd w:fill="F6F8F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222933"/>
                <w:sz w:val="19"/>
                <w:szCs w:val="19"/>
              </w:rPr>
              <w:t xml:space="preserve">SheetJS (xlsx) — server-side only</w:t>
            </w:r>
          </w:p>
        </w:tc>
      </w:tr>
      <w:tr>
        <w:tc>
          <w:tcPr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222933"/>
                <w:sz w:val="19"/>
                <w:szCs w:val="19"/>
              </w:rPr>
              <w:t xml:space="preserve">Charts / visualization</w:t>
            </w:r>
          </w:p>
        </w:tc>
        <w:tc>
          <w:tcPr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222933"/>
                <w:sz w:val="19"/>
                <w:szCs w:val="19"/>
              </w:rPr>
              <w:t xml:space="preserve">Recharts via shadcn/ui chart components</w:t>
            </w:r>
          </w:p>
        </w:tc>
      </w:tr>
      <w:tr>
        <w:tc>
          <w:tcPr>
            <w:shd w:fill="F6F8F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222933"/>
                <w:sz w:val="19"/>
                <w:szCs w:val="19"/>
              </w:rPr>
              <w:t xml:space="preserve">Notifications database</w:t>
            </w:r>
          </w:p>
        </w:tc>
        <w:tc>
          <w:tcPr>
            <w:shd w:fill="F6F8F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222933"/>
                <w:sz w:val="19"/>
                <w:szCs w:val="19"/>
              </w:rPr>
              <w:t xml:space="preserve">Azure Database for PostgreSQL Flexible Server (Canada East) with Drizzle ORM</w:t>
            </w:r>
          </w:p>
        </w:tc>
      </w:tr>
      <w:tr>
        <w:tc>
          <w:tcPr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222933"/>
                <w:sz w:val="19"/>
                <w:szCs w:val="19"/>
              </w:rPr>
              <w:t xml:space="preserve">Identity</w:t>
            </w:r>
          </w:p>
        </w:tc>
        <w:tc>
          <w:tcPr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222933"/>
                <w:sz w:val="19"/>
                <w:szCs w:val="19"/>
              </w:rPr>
              <w:t xml:space="preserve">Pluggable provider (dev identity now; Microsoft Entra ID / MSAL ready)</w:t>
            </w:r>
          </w:p>
        </w:tc>
      </w:tr>
    </w:tbl>
    <w:p>
      <w:r>
        <w:br w:type="page"/>
      </w:r>
    </w:p>
    <w:p>
      <w:pPr>
        <w:pStyle w:val="Heading1"/>
        <w:spacing w:after="140" w:before="360"/>
      </w:pPr>
      <w:r>
        <w:rPr>
          <w:b/>
          <w:bCs/>
          <w:color w:val="1F2A44"/>
          <w:sz w:val="30"/>
          <w:szCs w:val="30"/>
        </w:rPr>
        <w:t xml:space="preserve">2. Data pipeline — how spreadsheets drive KPI-01 … KPI-21</w:t>
      </w:r>
    </w:p>
    <w:p>
      <w:pPr>
        <w:spacing w:after="120" w:line="288"/>
      </w:pPr>
      <w:r>
        <w:rPr>
          <w:color w:val="222933"/>
          <w:sz w:val="21"/>
          <w:szCs w:val="21"/>
        </w:rPr>
        <w:t xml:space="preserve">Each KPI has its own workbook and its own adapter. The same pipeline feeds both the individual KPI dashboards and the Executive Summary roll-up, so all visualizations and alerts stay consistent.</w:t>
      </w:r>
    </w:p>
    <w:p>
      <w:pPr>
        <w:pStyle w:val="Heading2"/>
        <w:spacing w:after="100" w:before="260"/>
      </w:pPr>
      <w:r>
        <w:rPr>
          <w:b/>
          <w:bCs/>
          <w:color w:val="1F2A44"/>
          <w:sz w:val="24"/>
          <w:szCs w:val="24"/>
        </w:rPr>
        <w:t xml:space="preserve">2.1 Flow</w:t>
      </w:r>
    </w:p>
    <w:p>
      <w:pPr>
        <w:shd w:fill="F2F4F8" w:color="auto" w:val="clear"/>
        <w:spacing w:after="40"/>
      </w:pPr>
      <w:r>
        <w:rPr>
          <w:rFonts w:ascii="Consolas" w:cs="Consolas" w:eastAsia="Consolas" w:hAnsi="Consolas"/>
          <w:color w:val="1B2430"/>
          <w:sz w:val="18"/>
          <w:szCs w:val="18"/>
        </w:rPr>
        <w:t xml:space="preserve">SharePoint / local .xlsx</w:t>
      </w:r>
    </w:p>
    <w:p>
      <w:pPr>
        <w:shd w:fill="F2F4F8" w:color="auto" w:val="clear"/>
        <w:spacing w:after="40"/>
      </w:pPr>
      <w:r>
        <w:rPr>
          <w:rFonts w:ascii="Consolas" w:cs="Consolas" w:eastAsia="Consolas" w:hAnsi="Consolas"/>
          <w:color w:val="1B2430"/>
          <w:sz w:val="18"/>
          <w:szCs w:val="18"/>
        </w:rPr>
        <w:t xml:space="preserve">   → lib/xlsx-loader.ts            (fetch + parse workbook with SheetJS)</w:t>
      </w:r>
    </w:p>
    <w:p>
      <w:pPr>
        <w:shd w:fill="F2F4F8" w:color="auto" w:val="clear"/>
        <w:spacing w:after="40"/>
      </w:pPr>
      <w:r>
        <w:rPr>
          <w:rFonts w:ascii="Consolas" w:cs="Consolas" w:eastAsia="Consolas" w:hAnsi="Consolas"/>
          <w:color w:val="1B2430"/>
          <w:sz w:val="18"/>
          <w:szCs w:val="18"/>
        </w:rPr>
        <w:t xml:space="preserve">   → lib/sharepoint/workbook-source.ts  (Graph download, ISR cache, local fallback)</w:t>
      </w:r>
    </w:p>
    <w:p>
      <w:pPr>
        <w:shd w:fill="F2F4F8" w:color="auto" w:val="clear"/>
        <w:spacing w:after="40"/>
      </w:pPr>
      <w:r>
        <w:rPr>
          <w:rFonts w:ascii="Consolas" w:cs="Consolas" w:eastAsia="Consolas" w:hAnsi="Consolas"/>
          <w:color w:val="1B2430"/>
          <w:sz w:val="18"/>
          <w:szCs w:val="18"/>
        </w:rPr>
        <w:t xml:space="preserve">   → lib/kpi-data/get-rows.ts      (read a sheet into typed rows)</w:t>
      </w:r>
    </w:p>
    <w:p>
      <w:pPr>
        <w:shd w:fill="F2F4F8" w:color="auto" w:val="clear"/>
        <w:spacing w:after="40"/>
      </w:pPr>
      <w:r>
        <w:rPr>
          <w:rFonts w:ascii="Consolas" w:cs="Consolas" w:eastAsia="Consolas" w:hAnsi="Consolas"/>
          <w:color w:val="1B2430"/>
          <w:sz w:val="18"/>
          <w:szCs w:val="18"/>
        </w:rPr>
        <w:t xml:space="preserve">   → lib/kpi-NN/get-data.ts        (per-KPI calculation from those rows)</w:t>
      </w:r>
    </w:p>
    <w:p>
      <w:pPr>
        <w:shd w:fill="F2F4F8" w:color="auto" w:val="clear"/>
        <w:spacing w:after="40"/>
      </w:pPr>
      <w:r>
        <w:rPr>
          <w:rFonts w:ascii="Consolas" w:cs="Consolas" w:eastAsia="Consolas" w:hAnsi="Consolas"/>
          <w:color w:val="1B2430"/>
          <w:sz w:val="18"/>
          <w:szCs w:val="18"/>
        </w:rPr>
        <w:t xml:space="preserve">   → lib/executive-summary/adapters.ts  (normalize each KPI for the roll-up)</w:t>
      </w:r>
    </w:p>
    <w:p>
      <w:pPr>
        <w:shd w:fill="F2F4F8" w:color="auto" w:val="clear"/>
        <w:spacing w:after="40"/>
      </w:pPr>
      <w:r>
        <w:rPr>
          <w:rFonts w:ascii="Consolas" w:cs="Consolas" w:eastAsia="Consolas" w:hAnsi="Consolas"/>
          <w:color w:val="1B2430"/>
          <w:sz w:val="18"/>
          <w:szCs w:val="18"/>
        </w:rPr>
        <w:t xml:space="preserve">   → lib/executive-summary/aggregate.ts (getExecutiveSummary → portfolio status)</w:t>
      </w:r>
    </w:p>
    <w:p>
      <w:pPr>
        <w:shd w:fill="F2F4F8" w:color="auto" w:val="clear"/>
        <w:spacing w:after="40"/>
      </w:pPr>
      <w:r>
        <w:rPr>
          <w:rFonts w:ascii="Consolas" w:cs="Consolas" w:eastAsia="Consolas" w:hAnsi="Consolas"/>
          <w:color w:val="1B2430"/>
          <w:sz w:val="18"/>
          <w:szCs w:val="18"/>
        </w:rPr>
        <w:t xml:space="preserve">   → dashboards, charts, reports, and the notification engine</w:t>
      </w:r>
    </w:p>
    <w:p>
      <w:pPr>
        <w:spacing w:after="60"/>
      </w:pPr>
    </w:p>
    <w:p>
      <w:pPr>
        <w:pStyle w:val="Heading2"/>
        <w:spacing w:after="100" w:before="260"/>
      </w:pPr>
      <w:r>
        <w:rPr>
          <w:b/>
          <w:bCs/>
          <w:color w:val="1F2A44"/>
          <w:sz w:val="24"/>
          <w:szCs w:val="24"/>
        </w:rPr>
        <w:t xml:space="preserve">2.2 What each stage does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color w:val="222933"/>
          <w:sz w:val="21"/>
          <w:szCs w:val="21"/>
        </w:rPr>
        <w:t xml:space="preserve">Loader: downloads the workbook (Graph) or reads the bundled fallback, then parses it with SheetJS server-side.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color w:val="222933"/>
          <w:sz w:val="21"/>
          <w:szCs w:val="21"/>
        </w:rPr>
        <w:t xml:space="preserve">Workbook source: resolves the file path per KPI, applies the ISR cache window, and falls back to data/kpi-NN/kpi-NN.xlsx when SharePoint is not configured.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color w:val="222933"/>
          <w:sz w:val="21"/>
          <w:szCs w:val="21"/>
        </w:rPr>
        <w:t xml:space="preserve">get-rows: turns a named sheet into typed row objects for the calculation.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color w:val="222933"/>
          <w:sz w:val="21"/>
          <w:szCs w:val="21"/>
        </w:rPr>
        <w:t xml:space="preserve">Per-KPI get-data: applies that KPI's business rules (counts, exclusions, damage points, status).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color w:val="222933"/>
          <w:sz w:val="21"/>
          <w:szCs w:val="21"/>
        </w:rPr>
        <w:t xml:space="preserve">Adapters + aggregate: convert every KPI into a common shape and compute the rolling 6-month portfolio band and threshold.</w:t>
      </w:r>
    </w:p>
    <w:tbl>
      <w:tblPr>
        <w:tblW w:type="pct" w:w="100%"/>
        <w:tblBorders>
          <w:top w:val="single" w:color="2563EB" w:sz="4"/>
          <w:left w:val="single" w:color="2563EB" w:sz="4"/>
          <w:bottom w:val="single" w:color="2563EB" w:sz="4"/>
          <w:right w:val="single" w:color="2563EB" w:sz="4"/>
          <w:insideH w:val="single" w:color="2563EB" w:sz="4"/>
          <w:insideV w:val="single" w:color="2563EB" w:sz="4"/>
        </w:tblBorders>
      </w:tblPr>
      <w:tblGrid>
        <w:gridCol w:w="100"/>
      </w:tblGrid>
      <w:tr>
        <w:tc>
          <w:tcPr>
            <w:shd w:fill="EEF2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2A44"/>
                <w:sz w:val="20"/>
                <w:szCs w:val="20"/>
              </w:rPr>
              <w:t xml:space="preserve">All 21 KPIs are workbook-driven</w:t>
            </w:r>
          </w:p>
          <w:p>
            <w:r>
              <w:rPr>
                <w:color w:val="2B3442"/>
                <w:sz w:val="20"/>
                <w:szCs w:val="20"/>
              </w:rPr>
              <w:t xml:space="preserve">Each lib/kpi-NN/get-data.ts reads through get-rows / workbook-source rather than hardcoding values. Confirm with:  grep -L "get-rows\|workbook-source" lib/kpi-*/get-data.ts  (should return nothing).</w:t>
            </w:r>
          </w:p>
        </w:tc>
      </w:tr>
    </w:tbl>
    <w:p>
      <w:pPr>
        <w:pStyle w:val="Heading2"/>
        <w:spacing w:after="100" w:before="260"/>
      </w:pPr>
      <w:r>
        <w:rPr>
          <w:b/>
          <w:bCs/>
          <w:color w:val="1F2A44"/>
          <w:sz w:val="24"/>
          <w:szCs w:val="24"/>
        </w:rPr>
        <w:t xml:space="preserve">2.3 Workbook layout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color w:val="222933"/>
          <w:sz w:val="21"/>
          <w:szCs w:val="21"/>
        </w:rPr>
        <w:t xml:space="preserve">Default: folder-per-KPI — kpi-01/kpi-01.xlsx … kpi-21/kpi-21.xlsx (SHAREPOINT_FILE_TEMPLATE = {id}/{id}.xlsx).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color w:val="222933"/>
          <w:sz w:val="21"/>
          <w:szCs w:val="21"/>
        </w:rPr>
        <w:t xml:space="preserve">Flat library alternative: set SHAREPOINT_FILE_TEMPLATE = {id}.xlsx.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color w:val="222933"/>
          <w:sz w:val="21"/>
          <w:szCs w:val="21"/>
        </w:rPr>
        <w:t xml:space="preserve">Formula cells are read as their cached computed values; keep workbooks recalculated before publishing.</w:t>
      </w:r>
    </w:p>
    <w:p>
      <w:r>
        <w:br w:type="page"/>
      </w:r>
    </w:p>
    <w:p>
      <w:pPr>
        <w:pStyle w:val="Heading1"/>
        <w:spacing w:after="140" w:before="360"/>
      </w:pPr>
      <w:r>
        <w:rPr>
          <w:b/>
          <w:bCs/>
          <w:color w:val="1F2A44"/>
          <w:sz w:val="30"/>
          <w:szCs w:val="30"/>
        </w:rPr>
        <w:t xml:space="preserve">3. Configuration (environment variables)</w:t>
      </w:r>
    </w:p>
    <w:p>
      <w:pPr>
        <w:spacing w:after="120" w:line="288"/>
      </w:pPr>
      <w:r>
        <w:rPr>
          <w:color w:val="222933"/>
          <w:sz w:val="21"/>
          <w:szCs w:val="21"/>
        </w:rPr>
        <w:t xml:space="preserve">With none of these set, the app runs on the bundled local workbooks — useful for dev and preview. Set the SharePoint group to read live data. Copy .env.example to .env.local and fill in real values; never commit secrets.</w:t>
      </w:r>
    </w:p>
    <w:p>
      <w:pPr>
        <w:pStyle w:val="Heading2"/>
        <w:spacing w:after="100" w:before="260"/>
      </w:pPr>
      <w:r>
        <w:rPr>
          <w:b/>
          <w:bCs/>
          <w:color w:val="1F2A44"/>
          <w:sz w:val="24"/>
          <w:szCs w:val="24"/>
        </w:rPr>
        <w:t xml:space="preserve">3.1 SharePoint / Microsoft Graph</w:t>
      </w:r>
    </w:p>
    <w:tbl>
      <w:tblPr>
        <w:tblW w:type="pct" w:w="100%"/>
        <w:tblBorders>
          <w:top w:val="single" w:color="D5DBE5" w:sz="4"/>
          <w:left w:val="single" w:color="D5DBE5" w:sz="4"/>
          <w:bottom w:val="single" w:color="D5DBE5" w:sz="4"/>
          <w:right w:val="single" w:color="D5DBE5" w:sz="4"/>
          <w:insideH w:val="single" w:color="D5DBE5" w:sz="4"/>
          <w:insideV w:val="single" w:color="D5DBE5" w:sz="4"/>
        </w:tblBorders>
      </w:tblPr>
      <w:tblGrid>
        <w:gridCol w:w="3400"/>
        <w:gridCol w:w="6000"/>
      </w:tblGrid>
      <w:tr>
        <w:trPr>
          <w:tblHeader/>
        </w:trPr>
        <w:tc>
          <w:tcPr>
            <w:shd w:fill="1F2A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Variable</w:t>
            </w:r>
          </w:p>
        </w:tc>
        <w:tc>
          <w:tcPr>
            <w:shd w:fill="1F2A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c>
          <w:tcPr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222933"/>
                <w:sz w:val="19"/>
                <w:szCs w:val="19"/>
              </w:rPr>
              <w:t xml:space="preserve">SHAREPOINT_TENANT_ID</w:t>
            </w:r>
          </w:p>
        </w:tc>
        <w:tc>
          <w:tcPr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222933"/>
                <w:sz w:val="19"/>
                <w:szCs w:val="19"/>
              </w:rPr>
              <w:t xml:space="preserve">Entra tenant (directory) ID.</w:t>
            </w:r>
          </w:p>
        </w:tc>
      </w:tr>
      <w:tr>
        <w:tc>
          <w:tcPr>
            <w:shd w:fill="F6F8F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222933"/>
                <w:sz w:val="19"/>
                <w:szCs w:val="19"/>
              </w:rPr>
              <w:t xml:space="preserve">SHAREPOINT_CLIENT_ID</w:t>
            </w:r>
          </w:p>
        </w:tc>
        <w:tc>
          <w:tcPr>
            <w:shd w:fill="F6F8F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222933"/>
                <w:sz w:val="19"/>
                <w:szCs w:val="19"/>
              </w:rPr>
              <w:t xml:space="preserve">App registration (client) ID.</w:t>
            </w:r>
          </w:p>
        </w:tc>
      </w:tr>
      <w:tr>
        <w:tc>
          <w:tcPr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222933"/>
                <w:sz w:val="19"/>
                <w:szCs w:val="19"/>
              </w:rPr>
              <w:t xml:space="preserve">SHAREPOINT_CLIENT_SECRET</w:t>
            </w:r>
          </w:p>
        </w:tc>
        <w:tc>
          <w:tcPr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222933"/>
                <w:sz w:val="19"/>
                <w:szCs w:val="19"/>
              </w:rPr>
              <w:t xml:space="preserve">App client secret (server-side only).</w:t>
            </w:r>
          </w:p>
        </w:tc>
      </w:tr>
      <w:tr>
        <w:tc>
          <w:tcPr>
            <w:shd w:fill="F6F8F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222933"/>
                <w:sz w:val="19"/>
                <w:szCs w:val="19"/>
              </w:rPr>
              <w:t xml:space="preserve">SHAREPOINT_SITE_URL</w:t>
            </w:r>
          </w:p>
        </w:tc>
        <w:tc>
          <w:tcPr>
            <w:shd w:fill="F6F8F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222933"/>
                <w:sz w:val="19"/>
                <w:szCs w:val="19"/>
              </w:rPr>
              <w:t xml:space="preserve">Site hosting the KPI document library.</w:t>
            </w:r>
          </w:p>
        </w:tc>
      </w:tr>
      <w:tr>
        <w:tc>
          <w:tcPr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222933"/>
                <w:sz w:val="19"/>
                <w:szCs w:val="19"/>
              </w:rPr>
              <w:t xml:space="preserve">SHAREPOINT_BASE_PATH</w:t>
            </w:r>
          </w:p>
        </w:tc>
        <w:tc>
          <w:tcPr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222933"/>
                <w:sz w:val="19"/>
                <w:szCs w:val="19"/>
              </w:rPr>
              <w:t xml:space="preserve">Optional sub-folder inside the library (blank = root).</w:t>
            </w:r>
          </w:p>
        </w:tc>
      </w:tr>
      <w:tr>
        <w:tc>
          <w:tcPr>
            <w:shd w:fill="F6F8F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222933"/>
                <w:sz w:val="19"/>
                <w:szCs w:val="19"/>
              </w:rPr>
              <w:t xml:space="preserve">SHAREPOINT_FILE_TEMPLATE</w:t>
            </w:r>
          </w:p>
        </w:tc>
        <w:tc>
          <w:tcPr>
            <w:shd w:fill="F6F8F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222933"/>
                <w:sz w:val="19"/>
                <w:szCs w:val="19"/>
              </w:rPr>
              <w:t xml:space="preserve">Workbook path template; default {id}/{id}.xlsx.</w:t>
            </w:r>
          </w:p>
        </w:tc>
      </w:tr>
      <w:tr>
        <w:tc>
          <w:tcPr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222933"/>
                <w:sz w:val="19"/>
                <w:szCs w:val="19"/>
              </w:rPr>
              <w:t xml:space="preserve">SHAREPOINT_TIMEOUT_MS / _MAX_RETRIES</w:t>
            </w:r>
          </w:p>
        </w:tc>
        <w:tc>
          <w:tcPr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222933"/>
                <w:sz w:val="19"/>
                <w:szCs w:val="19"/>
              </w:rPr>
              <w:t xml:space="preserve">Graph download tuning (default 15000 / 3).</w:t>
            </w:r>
          </w:p>
        </w:tc>
      </w:tr>
    </w:tbl>
    <w:p>
      <w:pPr>
        <w:pStyle w:val="Heading2"/>
        <w:spacing w:after="100" w:before="260"/>
      </w:pPr>
      <w:r>
        <w:rPr>
          <w:b/>
          <w:bCs/>
          <w:color w:val="1F2A44"/>
          <w:sz w:val="24"/>
          <w:szCs w:val="24"/>
        </w:rPr>
        <w:t xml:space="preserve">3.2 Caching &amp; refresh</w:t>
      </w:r>
    </w:p>
    <w:tbl>
      <w:tblPr>
        <w:tblW w:type="pct" w:w="100%"/>
        <w:tblBorders>
          <w:top w:val="single" w:color="D5DBE5" w:sz="4"/>
          <w:left w:val="single" w:color="D5DBE5" w:sz="4"/>
          <w:bottom w:val="single" w:color="D5DBE5" w:sz="4"/>
          <w:right w:val="single" w:color="D5DBE5" w:sz="4"/>
          <w:insideH w:val="single" w:color="D5DBE5" w:sz="4"/>
          <w:insideV w:val="single" w:color="D5DBE5" w:sz="4"/>
        </w:tblBorders>
      </w:tblPr>
      <w:tblGrid>
        <w:gridCol w:w="3400"/>
        <w:gridCol w:w="6000"/>
      </w:tblGrid>
      <w:tr>
        <w:trPr>
          <w:tblHeader/>
        </w:trPr>
        <w:tc>
          <w:tcPr>
            <w:shd w:fill="1F2A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Variable</w:t>
            </w:r>
          </w:p>
        </w:tc>
        <w:tc>
          <w:tcPr>
            <w:shd w:fill="1F2A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c>
          <w:tcPr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222933"/>
                <w:sz w:val="19"/>
                <w:szCs w:val="19"/>
              </w:rPr>
              <w:t xml:space="preserve">KPI_CACHE_TTL_SECONDS</w:t>
            </w:r>
          </w:p>
        </w:tc>
        <w:tc>
          <w:tcPr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222933"/>
                <w:sz w:val="19"/>
                <w:szCs w:val="19"/>
              </w:rPr>
              <w:t xml:space="preserve">ISR window for a workbook fetch (300 with webhook; 60 poll-only).</w:t>
            </w:r>
          </w:p>
        </w:tc>
      </w:tr>
      <w:tr>
        <w:tc>
          <w:tcPr>
            <w:shd w:fill="F6F8F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222933"/>
                <w:sz w:val="19"/>
                <w:szCs w:val="19"/>
              </w:rPr>
              <w:t xml:space="preserve">REVALIDATE_SECRET</w:t>
            </w:r>
          </w:p>
        </w:tc>
        <w:tc>
          <w:tcPr>
            <w:shd w:fill="F6F8F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222933"/>
                <w:sz w:val="19"/>
                <w:szCs w:val="19"/>
              </w:rPr>
              <w:t xml:space="preserve">Shared secret to POST /api/revalidate and for /api/health?deep=1.</w:t>
            </w:r>
          </w:p>
        </w:tc>
      </w:tr>
    </w:tbl>
    <w:p>
      <w:pPr>
        <w:pStyle w:val="Heading2"/>
        <w:spacing w:after="100" w:before="260"/>
      </w:pPr>
      <w:r>
        <w:rPr>
          <w:b/>
          <w:bCs/>
          <w:color w:val="1F2A44"/>
          <w:sz w:val="24"/>
          <w:szCs w:val="24"/>
        </w:rPr>
        <w:t xml:space="preserve">3.3 Notifications</w:t>
      </w:r>
    </w:p>
    <w:tbl>
      <w:tblPr>
        <w:tblW w:type="pct" w:w="100%"/>
        <w:tblBorders>
          <w:top w:val="single" w:color="D5DBE5" w:sz="4"/>
          <w:left w:val="single" w:color="D5DBE5" w:sz="4"/>
          <w:bottom w:val="single" w:color="D5DBE5" w:sz="4"/>
          <w:right w:val="single" w:color="D5DBE5" w:sz="4"/>
          <w:insideH w:val="single" w:color="D5DBE5" w:sz="4"/>
          <w:insideV w:val="single" w:color="D5DBE5" w:sz="4"/>
        </w:tblBorders>
      </w:tblPr>
      <w:tblGrid>
        <w:gridCol w:w="3800"/>
        <w:gridCol w:w="5600"/>
      </w:tblGrid>
      <w:tr>
        <w:trPr>
          <w:tblHeader/>
        </w:trPr>
        <w:tc>
          <w:tcPr>
            <w:shd w:fill="1F2A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Variable</w:t>
            </w:r>
          </w:p>
        </w:tc>
        <w:tc>
          <w:tcPr>
            <w:shd w:fill="1F2A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c>
          <w:tcPr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222933"/>
                <w:sz w:val="19"/>
                <w:szCs w:val="19"/>
              </w:rPr>
              <w:t xml:space="preserve">DATABASE_URL</w:t>
            </w:r>
          </w:p>
        </w:tc>
        <w:tc>
          <w:tcPr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222933"/>
                <w:sz w:val="19"/>
                <w:szCs w:val="19"/>
              </w:rPr>
              <w:t xml:space="preserve">Azure Database for PostgreSQL Flexible Server connection string (TLS required).</w:t>
            </w:r>
          </w:p>
        </w:tc>
      </w:tr>
      <w:tr>
        <w:tc>
          <w:tcPr>
            <w:shd w:fill="F6F8F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222933"/>
                <w:sz w:val="19"/>
                <w:szCs w:val="19"/>
              </w:rPr>
              <w:t xml:space="preserve">AZURE_PG_USE_ENTRA</w:t>
            </w:r>
          </w:p>
        </w:tc>
        <w:tc>
          <w:tcPr>
            <w:shd w:fill="F6F8F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222933"/>
                <w:sz w:val="19"/>
                <w:szCs w:val="19"/>
              </w:rPr>
              <w:t xml:space="preserve">true to authenticate via Microsoft Entra ID managed-identity tokens instead of a password.</w:t>
            </w:r>
          </w:p>
        </w:tc>
      </w:tr>
      <w:tr>
        <w:tc>
          <w:tcPr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222933"/>
                <w:sz w:val="19"/>
                <w:szCs w:val="19"/>
              </w:rPr>
              <w:t xml:space="preserve">AZURE_PG_SSL_CA</w:t>
            </w:r>
          </w:p>
        </w:tc>
        <w:tc>
          <w:tcPr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222933"/>
                <w:sz w:val="19"/>
                <w:szCs w:val="19"/>
              </w:rPr>
              <w:t xml:space="preserve">Optional CA bundle (PEM or file path) for verify-full TLS; blank uses Node's trust store.</w:t>
            </w:r>
          </w:p>
        </w:tc>
      </w:tr>
      <w:tr>
        <w:tc>
          <w:tcPr>
            <w:shd w:fill="F6F8F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222933"/>
                <w:sz w:val="19"/>
                <w:szCs w:val="19"/>
              </w:rPr>
              <w:t xml:space="preserve">AUTH_REQUIRE_ENTRA</w:t>
            </w:r>
          </w:p>
        </w:tc>
        <w:tc>
          <w:tcPr>
            <w:shd w:fill="F6F8F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222933"/>
                <w:sz w:val="19"/>
                <w:szCs w:val="19"/>
              </w:rPr>
              <w:t xml:space="preserve">true in production to force Entra sign-in (proxy redirects unauthenticated page requests).</w:t>
            </w:r>
          </w:p>
        </w:tc>
      </w:tr>
      <w:tr>
        <w:tc>
          <w:tcPr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222933"/>
                <w:sz w:val="19"/>
                <w:szCs w:val="19"/>
              </w:rPr>
              <w:t xml:space="preserve">NOTIFY_DEV_USER_ID / _EMAIL / _NAME / _ROLE</w:t>
            </w:r>
          </w:p>
        </w:tc>
        <w:tc>
          <w:tcPr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222933"/>
                <w:sz w:val="19"/>
                <w:szCs w:val="19"/>
              </w:rPr>
              <w:t xml:space="preserve">Local dev fallback identity, used only when no Easy Auth principal is present.</w:t>
            </w:r>
          </w:p>
        </w:tc>
      </w:tr>
      <w:tr>
        <w:tc>
          <w:tcPr>
            <w:shd w:fill="F6F8F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222933"/>
                <w:sz w:val="19"/>
                <w:szCs w:val="19"/>
              </w:rPr>
              <w:t xml:space="preserve">NOTIFY_EVALUATE_SECRET</w:t>
            </w:r>
          </w:p>
        </w:tc>
        <w:tc>
          <w:tcPr>
            <w:shd w:fill="F6F8F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222933"/>
                <w:sz w:val="19"/>
                <w:szCs w:val="19"/>
              </w:rPr>
              <w:t xml:space="preserve">Shared secret to POST /api/notifications/evaluate (scheduler / webhook).</w:t>
            </w:r>
          </w:p>
        </w:tc>
      </w:tr>
      <w:tr>
        <w:tc>
          <w:tcPr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222933"/>
                <w:sz w:val="19"/>
                <w:szCs w:val="19"/>
              </w:rPr>
              <w:t xml:space="preserve">NOTIFY_EMAIL_ENABLED</w:t>
            </w:r>
          </w:p>
        </w:tc>
        <w:tc>
          <w:tcPr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222933"/>
                <w:sz w:val="19"/>
                <w:szCs w:val="19"/>
              </w:rPr>
              <w:t xml:space="preserve">Feature flag for Outlook email delivery (default false).</w:t>
            </w:r>
          </w:p>
        </w:tc>
      </w:tr>
      <w:tr>
        <w:tc>
          <w:tcPr>
            <w:shd w:fill="F6F8F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222933"/>
                <w:sz w:val="19"/>
                <w:szCs w:val="19"/>
              </w:rPr>
              <w:t xml:space="preserve">NOTIFY_TEAMS_ENABLED</w:t>
            </w:r>
          </w:p>
        </w:tc>
        <w:tc>
          <w:tcPr>
            <w:shd w:fill="F6F8F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222933"/>
                <w:sz w:val="19"/>
                <w:szCs w:val="19"/>
              </w:rPr>
              <w:t xml:space="preserve">Feature flag for Microsoft Teams delivery (default false).</w:t>
            </w:r>
          </w:p>
        </w:tc>
      </w:tr>
    </w:tbl>
    <w:p>
      <w:pPr>
        <w:pStyle w:val="Heading2"/>
        <w:spacing w:after="100" w:before="260"/>
      </w:pPr>
      <w:r>
        <w:rPr>
          <w:b/>
          <w:bCs/>
          <w:color w:val="1F2A44"/>
          <w:sz w:val="24"/>
          <w:szCs w:val="24"/>
        </w:rPr>
        <w:t xml:space="preserve">3.4 Provisioning the Azure PostgreSQL database</w:t>
      </w:r>
    </w:p>
    <w:p>
      <w:pPr>
        <w:spacing w:after="120" w:line="288"/>
      </w:pPr>
      <w:r>
        <w:rPr>
          <w:color w:val="222933"/>
          <w:sz w:val="21"/>
          <w:szCs w:val="21"/>
        </w:rPr>
        <w:t xml:space="preserve">Create an Azure Database for PostgreSQL Flexible Server in Canada East (same region as the App Service) with TLS enforced, then create a database (e.g. "kpi") and provision the tables. The app connects with the standard pg driver — no Azure-specific driver is required.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color w:val="222933"/>
          <w:sz w:val="21"/>
          <w:szCs w:val="21"/>
        </w:rPr>
        <w:t xml:space="preserve">Provision the schema with the bundled DDL: psql "host=&lt;server&gt;.postgres.database.azure.com port=5432 dbname=kpi user=dbadmin sslmode=require" -f scripts/db/schema.sql (idempotent, safe to re-run).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color w:val="222933"/>
          <w:sz w:val="21"/>
          <w:szCs w:val="21"/>
        </w:rPr>
        <w:t xml:space="preserve">Password auth: put the credentials in DATABASE_URL with ?sslmode=require.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color w:val="222933"/>
          <w:sz w:val="21"/>
          <w:szCs w:val="21"/>
        </w:rPr>
        <w:t xml:space="preserve">Entra ID auth (recommended for production): set AZURE_PG_USE_ENTRA=true and omit the password; the App Service managed identity mints a short-lived token per connection. Grant the identity a PostgreSQL role via Microsoft Entra admin.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color w:val="222933"/>
          <w:sz w:val="21"/>
          <w:szCs w:val="21"/>
        </w:rPr>
        <w:t xml:space="preserve">Data residency: keeping the server in Canada East co-locates the data with the app and satisfies the in-region requirement.</w:t>
      </w:r>
    </w:p>
    <w:p>
      <w:pPr>
        <w:pStyle w:val="Heading2"/>
        <w:spacing w:after="100" w:before="260"/>
      </w:pPr>
      <w:r>
        <w:rPr>
          <w:b/>
          <w:bCs/>
          <w:color w:val="1F2A44"/>
          <w:sz w:val="24"/>
          <w:szCs w:val="24"/>
        </w:rPr>
        <w:t xml:space="preserve">3.5 Authentication and access control (Microsoft Entra ID)</w:t>
      </w:r>
    </w:p>
    <w:p>
      <w:pPr>
        <w:spacing w:after="120" w:line="288"/>
      </w:pPr>
      <w:r>
        <w:rPr>
          <w:color w:val="222933"/>
          <w:sz w:val="21"/>
          <w:szCs w:val="21"/>
        </w:rPr>
        <w:t xml:space="preserve">Sign-in is handled by Azure App Service Authentication ("Easy Auth"), which validates the Entra ID login before the request reaches the app and injects the signed-in principal as request headers. The app reads that principal in lib/auth/easy-auth.ts — it never handles passwords, tokens, or client secrets.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color w:val="222933"/>
          <w:sz w:val="21"/>
          <w:szCs w:val="21"/>
        </w:rPr>
        <w:t xml:space="preserve">Enable: on the App Service, turn on Authentication, add the Microsoft identity provider, and set unauthenticated requests to require login. Set AUTH_REQUIRE_ENTRA=true so the app's proxy also redirects any unauthenticated page request to Entra.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color w:val="222933"/>
          <w:sz w:val="21"/>
          <w:szCs w:val="21"/>
        </w:rPr>
        <w:t xml:space="preserve">Roles: define three App Roles on the Entra app registration — Admin, Manager, Viewer — and assign users or security groups to them. The app maps any role containing "admin" to admin, "manager" to manager, and everything else to viewer; the highest role wins.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color w:val="222933"/>
          <w:sz w:val="21"/>
          <w:szCs w:val="21"/>
        </w:rPr>
        <w:t xml:space="preserve">Role of record: on each sign-in the user's role from Entra is synced to app_user, so directory changes take effect on next login. Identity is keyed by the Entra object id (oid).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color w:val="222933"/>
          <w:sz w:val="21"/>
          <w:szCs w:val="21"/>
        </w:rPr>
        <w:t xml:space="preserve">What roles gate: every authenticated user can view all 21 KPIs and manage their own subscriptions. Manager and Admin can additionally run evaluations ("Check now"); Admin is reserved for assignment and audit review (Phase 5).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color w:val="222933"/>
          <w:sz w:val="21"/>
          <w:szCs w:val="21"/>
        </w:rPr>
        <w:t xml:space="preserve">Local dev / preview: with no Easy Auth in front of the app, it falls back to the NOTIFY_DEV_USER_* identity so the UI stays fully functional. This fallback is never used once a real Entra user is signed in.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color w:val="222933"/>
          <w:sz w:val="21"/>
          <w:szCs w:val="21"/>
        </w:rPr>
        <w:t xml:space="preserve">Sign-out: the profile menu links to /.auth/logout, App Service's Easy Auth logout endpoint.</w:t>
      </w:r>
    </w:p>
    <w:p>
      <w:r>
        <w:br w:type="page"/>
      </w:r>
    </w:p>
    <w:p>
      <w:pPr>
        <w:pStyle w:val="Heading1"/>
        <w:spacing w:after="140" w:before="360"/>
      </w:pPr>
      <w:r>
        <w:rPr>
          <w:b/>
          <w:bCs/>
          <w:color w:val="1F2A44"/>
          <w:sz w:val="30"/>
          <w:szCs w:val="30"/>
        </w:rPr>
        <w:t xml:space="preserve">4. Notification system</w:t>
      </w:r>
    </w:p>
    <w:p>
      <w:pPr>
        <w:pStyle w:val="Heading2"/>
        <w:spacing w:after="100" w:before="260"/>
      </w:pPr>
      <w:r>
        <w:rPr>
          <w:b/>
          <w:bCs/>
          <w:color w:val="1F2A44"/>
          <w:sz w:val="24"/>
          <w:szCs w:val="24"/>
        </w:rPr>
        <w:t xml:space="preserve">4.1 Evaluation engine</w:t>
      </w:r>
    </w:p>
    <w:p>
      <w:pPr>
        <w:spacing w:after="120" w:line="288"/>
      </w:pPr>
      <w:r>
        <w:rPr>
          <w:color w:val="222933"/>
          <w:sz w:val="21"/>
          <w:szCs w:val="21"/>
        </w:rPr>
        <w:t xml:space="preserve">lib/notifications/evaluate.ts calls getExecutiveSummary(), compares each KPI and the portfolio against the last stored snapshot, and creates deduplicated alert events on worsening, recovery, or band-change transitions. The first run records a silent baseline.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color w:val="222933"/>
          <w:sz w:val="21"/>
          <w:szCs w:val="21"/>
        </w:rPr>
        <w:t xml:space="preserve">Severity mapping: KPI red → critical, amber → warning, unavailable → warning, recovery → info; portfolio red/orange → critical, yellow → warning.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color w:val="222933"/>
          <w:sz w:val="21"/>
          <w:szCs w:val="21"/>
        </w:rPr>
        <w:t xml:space="preserve">Deduplication: a stable fingerprint (scope | kpi | status | reporting month) prevents duplicate alerts on re-runs.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color w:val="222933"/>
          <w:sz w:val="21"/>
          <w:szCs w:val="21"/>
        </w:rPr>
        <w:t xml:space="preserve">Fan-out: each event creates one delivery per matching subscription and enabled channel; dashboard deliveries are immediate.</w:t>
      </w:r>
    </w:p>
    <w:p>
      <w:pPr>
        <w:pStyle w:val="Heading2"/>
        <w:spacing w:after="100" w:before="260"/>
      </w:pPr>
      <w:r>
        <w:rPr>
          <w:b/>
          <w:bCs/>
          <w:color w:val="1F2A44"/>
          <w:sz w:val="24"/>
          <w:szCs w:val="24"/>
        </w:rPr>
        <w:t xml:space="preserve">4.2 Database tables (Azure PostgreSQL / Drizzle)</w:t>
      </w:r>
    </w:p>
    <w:tbl>
      <w:tblPr>
        <w:tblW w:type="pct" w:w="100%"/>
        <w:tblBorders>
          <w:top w:val="single" w:color="D5DBE5" w:sz="4"/>
          <w:left w:val="single" w:color="D5DBE5" w:sz="4"/>
          <w:bottom w:val="single" w:color="D5DBE5" w:sz="4"/>
          <w:right w:val="single" w:color="D5DBE5" w:sz="4"/>
          <w:insideH w:val="single" w:color="D5DBE5" w:sz="4"/>
          <w:insideV w:val="single" w:color="D5DBE5" w:sz="4"/>
        </w:tblBorders>
      </w:tblPr>
      <w:tblGrid>
        <w:gridCol w:w="2900"/>
        <w:gridCol w:w="6500"/>
      </w:tblGrid>
      <w:tr>
        <w:trPr>
          <w:tblHeader/>
        </w:trPr>
        <w:tc>
          <w:tcPr>
            <w:shd w:fill="1F2A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Table</w:t>
            </w:r>
          </w:p>
        </w:tc>
        <w:tc>
          <w:tcPr>
            <w:shd w:fill="1F2A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Contents</w:t>
            </w:r>
          </w:p>
        </w:tc>
      </w:tr>
      <w:tr>
        <w:tc>
          <w:tcPr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222933"/>
                <w:sz w:val="19"/>
                <w:szCs w:val="19"/>
              </w:rPr>
              <w:t xml:space="preserve">app_user</w:t>
            </w:r>
          </w:p>
        </w:tc>
        <w:tc>
          <w:tcPr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222933"/>
                <w:sz w:val="19"/>
                <w:szCs w:val="19"/>
              </w:rPr>
              <w:t xml:space="preserve">Identity + RBAC role (viewer / manager / admin).</w:t>
            </w:r>
          </w:p>
        </w:tc>
      </w:tr>
      <w:tr>
        <w:tc>
          <w:tcPr>
            <w:shd w:fill="F6F8F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222933"/>
                <w:sz w:val="19"/>
                <w:szCs w:val="19"/>
              </w:rPr>
              <w:t xml:space="preserve">subscription</w:t>
            </w:r>
          </w:p>
        </w:tc>
        <w:tc>
          <w:tcPr>
            <w:shd w:fill="F6F8F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222933"/>
                <w:sz w:val="19"/>
                <w:szCs w:val="19"/>
              </w:rPr>
              <w:t xml:space="preserve">Per-user KPI or portfolio follow, channel toggles, min severity.</w:t>
            </w:r>
          </w:p>
        </w:tc>
      </w:tr>
      <w:tr>
        <w:tc>
          <w:tcPr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222933"/>
                <w:sz w:val="19"/>
                <w:szCs w:val="19"/>
              </w:rPr>
              <w:t xml:space="preserve">alert_event</w:t>
            </w:r>
          </w:p>
        </w:tc>
        <w:tc>
          <w:tcPr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222933"/>
                <w:sz w:val="19"/>
                <w:szCs w:val="19"/>
              </w:rPr>
              <w:t xml:space="preserve">Generated alerts with severity, transition, and dedupe key.</w:t>
            </w:r>
          </w:p>
        </w:tc>
      </w:tr>
      <w:tr>
        <w:tc>
          <w:tcPr>
            <w:shd w:fill="F6F8F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222933"/>
                <w:sz w:val="19"/>
                <w:szCs w:val="19"/>
              </w:rPr>
              <w:t xml:space="preserve">delivery</w:t>
            </w:r>
          </w:p>
        </w:tc>
        <w:tc>
          <w:tcPr>
            <w:shd w:fill="F6F8F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222933"/>
                <w:sz w:val="19"/>
                <w:szCs w:val="19"/>
              </w:rPr>
              <w:t xml:space="preserve">Per-user, per-channel delivery + read state.</w:t>
            </w:r>
          </w:p>
        </w:tc>
      </w:tr>
      <w:tr>
        <w:tc>
          <w:tcPr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222933"/>
                <w:sz w:val="19"/>
                <w:szCs w:val="19"/>
              </w:rPr>
              <w:t xml:space="preserve">kpi_status_snapshot</w:t>
            </w:r>
          </w:p>
        </w:tc>
        <w:tc>
          <w:tcPr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222933"/>
                <w:sz w:val="19"/>
                <w:szCs w:val="19"/>
              </w:rPr>
              <w:t xml:space="preserve">Last-seen status per scope/KPI for transition detection.</w:t>
            </w:r>
          </w:p>
        </w:tc>
      </w:tr>
      <w:tr>
        <w:tc>
          <w:tcPr>
            <w:shd w:fill="F6F8F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222933"/>
                <w:sz w:val="19"/>
                <w:szCs w:val="19"/>
              </w:rPr>
              <w:t xml:space="preserve">audit_log</w:t>
            </w:r>
          </w:p>
        </w:tc>
        <w:tc>
          <w:tcPr>
            <w:shd w:fill="F6F8F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222933"/>
                <w:sz w:val="19"/>
                <w:szCs w:val="19"/>
              </w:rPr>
              <w:t xml:space="preserve">Audited mutations (subscription changes, mark-read, evaluations).</w:t>
            </w:r>
          </w:p>
        </w:tc>
      </w:tr>
    </w:tbl>
    <w:p>
      <w:pPr>
        <w:pStyle w:val="Heading2"/>
        <w:spacing w:after="100" w:before="260"/>
      </w:pPr>
      <w:r>
        <w:rPr>
          <w:b/>
          <w:bCs/>
          <w:color w:val="1F2A44"/>
          <w:sz w:val="24"/>
          <w:szCs w:val="24"/>
        </w:rPr>
        <w:t xml:space="preserve">4.3 Triggering evaluations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color w:val="222933"/>
          <w:sz w:val="21"/>
          <w:szCs w:val="21"/>
        </w:rPr>
        <w:t xml:space="preserve">Manual: the "Check now" button on the Notifications page (server action).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color w:val="222933"/>
          <w:sz w:val="21"/>
          <w:szCs w:val="21"/>
        </w:rPr>
        <w:t xml:space="preserve">Scheduled / external: POST /api/notifications/evaluate with the NOTIFY_EVALUATE_SECRET, from Vercel Cron or Power Automate.</w:t>
      </w:r>
    </w:p>
    <w:p>
      <w:pPr>
        <w:shd w:fill="F2F4F8" w:color="auto" w:val="clear"/>
        <w:spacing w:after="40"/>
      </w:pPr>
      <w:r>
        <w:rPr>
          <w:rFonts w:ascii="Consolas" w:cs="Consolas" w:eastAsia="Consolas" w:hAnsi="Consolas"/>
          <w:color w:val="1B2430"/>
          <w:sz w:val="18"/>
          <w:szCs w:val="18"/>
        </w:rPr>
        <w:t xml:space="preserve">curl -X POST -H "x-evaluate-secret: $NOTIFY_EVALUATE_SECRET" https://&lt;host&gt;/api/notifications/evaluate</w:t>
      </w:r>
    </w:p>
    <w:p>
      <w:r>
        <w:br w:type="page"/>
      </w:r>
    </w:p>
    <w:p>
      <w:pPr>
        <w:pStyle w:val="Heading1"/>
        <w:spacing w:after="140" w:before="360"/>
      </w:pPr>
      <w:r>
        <w:rPr>
          <w:b/>
          <w:bCs/>
          <w:color w:val="1F2A44"/>
          <w:sz w:val="30"/>
          <w:szCs w:val="30"/>
        </w:rPr>
        <w:t xml:space="preserve">5. Enabling email &amp; Microsoft Teams (Phase 3)</w:t>
      </w:r>
    </w:p>
    <w:p>
      <w:pPr>
        <w:spacing w:after="120" w:line="288"/>
      </w:pPr>
      <w:r>
        <w:rPr>
          <w:color w:val="222933"/>
          <w:sz w:val="21"/>
          <w:szCs w:val="21"/>
        </w:rPr>
        <w:t xml:space="preserve">Delivery is routed through a transport interface (lib/notifications/transports.ts). Dashboard is always on; email and Teams are stubbed behind feature flags until Microsoft 365 send permissions are configured.</w:t>
      </w:r>
    </w:p>
    <w:p>
      <w:pPr>
        <w:pStyle w:val="Heading2"/>
        <w:spacing w:after="100" w:before="260"/>
      </w:pPr>
      <w:r>
        <w:rPr>
          <w:b/>
          <w:bCs/>
          <w:color w:val="1F2A44"/>
          <w:sz w:val="24"/>
          <w:szCs w:val="24"/>
        </w:rPr>
        <w:t xml:space="preserve">5.1 Steps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222933"/>
          <w:sz w:val="21"/>
          <w:szCs w:val="21"/>
        </w:rPr>
        <w:t xml:space="preserve">Grant the Entra app the required Graph send permissions (e.g. Mail.Send) and configure a sender mailbox.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222933"/>
          <w:sz w:val="21"/>
          <w:szCs w:val="21"/>
        </w:rPr>
        <w:t xml:space="preserve">Set NOTIFY_EMAIL_ENABLED=true and/or NOTIFY_TEAMS_ENABLED=true.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222933"/>
          <w:sz w:val="21"/>
          <w:szCs w:val="21"/>
        </w:rPr>
        <w:t xml:space="preserve">Implement the send() body in the corresponding transport (email uses the existing Graph client token acquisition).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222933"/>
          <w:sz w:val="21"/>
          <w:szCs w:val="21"/>
        </w:rPr>
        <w:t xml:space="preserve">Verify with a test subscription; confirm delivery rows move from suppressed to sent.</w:t>
      </w:r>
    </w:p>
    <w:tbl>
      <w:tblPr>
        <w:tblW w:type="pct" w:w="100%"/>
        <w:tblBorders>
          <w:top w:val="single" w:color="2563EB" w:sz="4"/>
          <w:left w:val="single" w:color="2563EB" w:sz="4"/>
          <w:bottom w:val="single" w:color="2563EB" w:sz="4"/>
          <w:right w:val="single" w:color="2563EB" w:sz="4"/>
          <w:insideH w:val="single" w:color="2563EB" w:sz="4"/>
          <w:insideV w:val="single" w:color="2563EB" w:sz="4"/>
        </w:tblBorders>
      </w:tblPr>
      <w:tblGrid>
        <w:gridCol w:w="100"/>
      </w:tblGrid>
      <w:tr>
        <w:tc>
          <w:tcPr>
            <w:shd w:fill="EEF2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2A44"/>
                <w:sz w:val="20"/>
                <w:szCs w:val="20"/>
              </w:rPr>
              <w:t xml:space="preserve">Power Automate compatibility</w:t>
            </w:r>
          </w:p>
          <w:p>
            <w:r>
              <w:rPr>
                <w:color w:val="2B3442"/>
                <w:sz w:val="20"/>
                <w:szCs w:val="20"/>
              </w:rPr>
              <w:t xml:space="preserve">Because alert creation and delivery are separated behind interfaces, Power Automate can process queued delivery records or receive a server-to-server webhook. Never expose a reusable flow URL or shared secret in browser code.</w:t>
            </w:r>
          </w:p>
        </w:tc>
      </w:tr>
    </w:tbl>
    <w:p>
      <w:pPr>
        <w:pStyle w:val="Heading1"/>
        <w:spacing w:after="140" w:before="360"/>
      </w:pPr>
      <w:r>
        <w:rPr>
          <w:b/>
          <w:bCs/>
          <w:color w:val="1F2A44"/>
          <w:sz w:val="30"/>
          <w:szCs w:val="30"/>
        </w:rPr>
        <w:t xml:space="preserve">6. Cross-platform delivery</w:t>
      </w:r>
    </w:p>
    <w:p>
      <w:pPr>
        <w:spacing w:after="120" w:line="288"/>
      </w:pPr>
      <w:r>
        <w:rPr>
          <w:color w:val="222933"/>
          <w:sz w:val="21"/>
          <w:szCs w:val="21"/>
        </w:rPr>
        <w:t xml:space="preserve">The UI is responsive and verified on desktop and mobile widths; there is no separate mobile app to maintain.</w:t>
      </w:r>
    </w:p>
    <w:tbl>
      <w:tblPr>
        <w:tblW w:type="pct" w:w="100%"/>
        <w:tblBorders>
          <w:top w:val="single" w:color="D5DBE5" w:sz="4"/>
          <w:left w:val="single" w:color="D5DBE5" w:sz="4"/>
          <w:bottom w:val="single" w:color="D5DBE5" w:sz="4"/>
          <w:right w:val="single" w:color="D5DBE5" w:sz="4"/>
          <w:insideH w:val="single" w:color="D5DBE5" w:sz="4"/>
          <w:insideV w:val="single" w:color="D5DBE5" w:sz="4"/>
        </w:tblBorders>
      </w:tblPr>
      <w:tblGrid>
        <w:gridCol w:w="2800"/>
        <w:gridCol w:w="6600"/>
      </w:tblGrid>
      <w:tr>
        <w:trPr>
          <w:tblHeader/>
        </w:trPr>
        <w:tc>
          <w:tcPr>
            <w:shd w:fill="1F2A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Platform</w:t>
            </w:r>
          </w:p>
        </w:tc>
        <w:tc>
          <w:tcPr>
            <w:shd w:fill="1F2A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Support</w:t>
            </w:r>
          </w:p>
        </w:tc>
      </w:tr>
      <w:tr>
        <w:tc>
          <w:tcPr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222933"/>
                <w:sz w:val="19"/>
                <w:szCs w:val="19"/>
              </w:rPr>
              <w:t xml:space="preserve">Windows PC</w:t>
            </w:r>
          </w:p>
        </w:tc>
        <w:tc>
          <w:tcPr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222933"/>
                <w:sz w:val="19"/>
                <w:szCs w:val="19"/>
              </w:rPr>
              <w:t xml:space="preserve">Latest Edge, Chrome, Firefox.</w:t>
            </w:r>
          </w:p>
        </w:tc>
      </w:tr>
      <w:tr>
        <w:tc>
          <w:tcPr>
            <w:shd w:fill="F6F8F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222933"/>
                <w:sz w:val="19"/>
                <w:szCs w:val="19"/>
              </w:rPr>
              <w:t xml:space="preserve">macOS</w:t>
            </w:r>
          </w:p>
        </w:tc>
        <w:tc>
          <w:tcPr>
            <w:shd w:fill="F6F8F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222933"/>
                <w:sz w:val="19"/>
                <w:szCs w:val="19"/>
              </w:rPr>
              <w:t xml:space="preserve">Latest Safari, Chrome, Firefox.</w:t>
            </w:r>
          </w:p>
        </w:tc>
      </w:tr>
      <w:tr>
        <w:tc>
          <w:tcPr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222933"/>
                <w:sz w:val="19"/>
                <w:szCs w:val="19"/>
              </w:rPr>
              <w:t xml:space="preserve">iPhone / iPad</w:t>
            </w:r>
          </w:p>
        </w:tc>
        <w:tc>
          <w:tcPr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222933"/>
                <w:sz w:val="19"/>
                <w:szCs w:val="19"/>
              </w:rPr>
              <w:t xml:space="preserve">Safari and Chrome on current iOS/iPadOS; installable to Home Screen.</w:t>
            </w:r>
          </w:p>
        </w:tc>
      </w:tr>
      <w:tr>
        <w:tc>
          <w:tcPr>
            <w:shd w:fill="F6F8F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222933"/>
                <w:sz w:val="19"/>
                <w:szCs w:val="19"/>
              </w:rPr>
              <w:t xml:space="preserve">Android</w:t>
            </w:r>
          </w:p>
        </w:tc>
        <w:tc>
          <w:tcPr>
            <w:shd w:fill="F6F8F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222933"/>
                <w:sz w:val="19"/>
                <w:szCs w:val="19"/>
              </w:rPr>
              <w:t xml:space="preserve">Chrome on current Android; installable to Home Screen.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 w:line="276"/>
      </w:pPr>
      <w:r>
        <w:rPr>
          <w:color w:val="222933"/>
          <w:sz w:val="21"/>
          <w:szCs w:val="21"/>
        </w:rPr>
        <w:t xml:space="preserve">Layout: header collapses to a menu button below the md breakpoint; KPI grids and charts reflow to a single column.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color w:val="222933"/>
          <w:sz w:val="21"/>
          <w:szCs w:val="21"/>
        </w:rPr>
        <w:t xml:space="preserve">Charts use responsive containers, so visualizations scale to the viewport.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color w:val="222933"/>
          <w:sz w:val="21"/>
          <w:szCs w:val="21"/>
        </w:rPr>
        <w:t xml:space="preserve">Preferences are stored per user (Azure PostgreSQL), so they follow the account across devices.</w:t>
      </w:r>
    </w:p>
    <w:p>
      <w:r>
        <w:br w:type="page"/>
      </w:r>
    </w:p>
    <w:p>
      <w:pPr>
        <w:pStyle w:val="Heading1"/>
        <w:spacing w:after="140" w:before="360"/>
      </w:pPr>
      <w:r>
        <w:rPr>
          <w:b/>
          <w:bCs/>
          <w:color w:val="1F2A44"/>
          <w:sz w:val="30"/>
          <w:szCs w:val="30"/>
        </w:rPr>
        <w:t xml:space="preserve">7. Security &amp; operations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color w:val="222933"/>
          <w:sz w:val="21"/>
          <w:szCs w:val="21"/>
        </w:rPr>
        <w:t xml:space="preserve">Secrets (Graph client secret, DATABASE_URL, evaluation secret) are server-side environment variables only — never shipped to the browser.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color w:val="222933"/>
          <w:sz w:val="21"/>
          <w:szCs w:val="21"/>
        </w:rPr>
        <w:t xml:space="preserve">RBAC roles are stored on app_user and enforced on mutations; all mutations are written to audit_log.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color w:val="222933"/>
          <w:sz w:val="21"/>
          <w:szCs w:val="21"/>
        </w:rPr>
        <w:t xml:space="preserve">Database access uses parameterized queries (Drizzle); per-user scoping is applied on user-owned data.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color w:val="222933"/>
          <w:sz w:val="21"/>
          <w:szCs w:val="21"/>
        </w:rPr>
        <w:t xml:space="preserve">Protected endpoints (/api/revalidate, /api/notifications/evaluate) require their shared secret.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color w:val="222933"/>
          <w:sz w:val="21"/>
          <w:szCs w:val="21"/>
        </w:rPr>
        <w:t xml:space="preserve">Recommended response headers: X-Content-Type-Options, Referrer-Policy, HSTS, and a tightened CSP for the deployed app.</w:t>
      </w:r>
    </w:p>
    <w:p>
      <w:pPr>
        <w:pStyle w:val="Heading2"/>
        <w:spacing w:after="100" w:before="260"/>
      </w:pPr>
      <w:r>
        <w:rPr>
          <w:b/>
          <w:bCs/>
          <w:color w:val="1F2A44"/>
          <w:sz w:val="24"/>
          <w:szCs w:val="24"/>
        </w:rPr>
        <w:t xml:space="preserve">7.1 Health &amp; monitoring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color w:val="222933"/>
          <w:sz w:val="21"/>
          <w:szCs w:val="21"/>
        </w:rPr>
        <w:t xml:space="preserve">GET /api/health for a basic liveness check; ?deep=1 (with REVALIDATE_SECRET) exercises the data path.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color w:val="222933"/>
          <w:sz w:val="21"/>
          <w:szCs w:val="21"/>
        </w:rPr>
        <w:t xml:space="preserve">Watch application logs and Azure PostgreSQL metrics (Azure Monitor); alert on evaluation endpoint failures and Graph download errors.</w:t>
      </w:r>
    </w:p>
    <w:p>
      <w:pPr>
        <w:pStyle w:val="Heading1"/>
        <w:spacing w:after="140" w:before="360"/>
      </w:pPr>
      <w:r>
        <w:rPr>
          <w:b/>
          <w:bCs/>
          <w:color w:val="1F2A44"/>
          <w:sz w:val="30"/>
          <w:szCs w:val="30"/>
        </w:rPr>
        <w:t xml:space="preserve">8. Key paths reference</w:t>
      </w:r>
    </w:p>
    <w:tbl>
      <w:tblPr>
        <w:tblW w:type="pct" w:w="100%"/>
        <w:tblBorders>
          <w:top w:val="single" w:color="D5DBE5" w:sz="4"/>
          <w:left w:val="single" w:color="D5DBE5" w:sz="4"/>
          <w:bottom w:val="single" w:color="D5DBE5" w:sz="4"/>
          <w:right w:val="single" w:color="D5DBE5" w:sz="4"/>
          <w:insideH w:val="single" w:color="D5DBE5" w:sz="4"/>
          <w:insideV w:val="single" w:color="D5DBE5" w:sz="4"/>
        </w:tblBorders>
      </w:tblPr>
      <w:tblGrid>
        <w:gridCol w:w="4000"/>
        <w:gridCol w:w="5400"/>
      </w:tblGrid>
      <w:tr>
        <w:trPr>
          <w:tblHeader/>
        </w:trPr>
        <w:tc>
          <w:tcPr>
            <w:shd w:fill="1F2A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Path</w:t>
            </w:r>
          </w:p>
        </w:tc>
        <w:tc>
          <w:tcPr>
            <w:shd w:fill="1F2A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Responsibility</w:t>
            </w:r>
          </w:p>
        </w:tc>
      </w:tr>
      <w:tr>
        <w:tc>
          <w:tcPr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222933"/>
                <w:sz w:val="19"/>
                <w:szCs w:val="19"/>
              </w:rPr>
              <w:t xml:space="preserve">lib/xlsx-loader.ts</w:t>
            </w:r>
          </w:p>
        </w:tc>
        <w:tc>
          <w:tcPr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222933"/>
                <w:sz w:val="19"/>
                <w:szCs w:val="19"/>
              </w:rPr>
              <w:t xml:space="preserve">Parse workbooks (SheetJS).</w:t>
            </w:r>
          </w:p>
        </w:tc>
      </w:tr>
      <w:tr>
        <w:tc>
          <w:tcPr>
            <w:shd w:fill="F6F8F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222933"/>
                <w:sz w:val="19"/>
                <w:szCs w:val="19"/>
              </w:rPr>
              <w:t xml:space="preserve">lib/sharepoint/workbook-source.ts</w:t>
            </w:r>
          </w:p>
        </w:tc>
        <w:tc>
          <w:tcPr>
            <w:shd w:fill="F6F8F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222933"/>
                <w:sz w:val="19"/>
                <w:szCs w:val="19"/>
              </w:rPr>
              <w:t xml:space="preserve">Graph download, cache, local fallback.</w:t>
            </w:r>
          </w:p>
        </w:tc>
      </w:tr>
      <w:tr>
        <w:tc>
          <w:tcPr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222933"/>
                <w:sz w:val="19"/>
                <w:szCs w:val="19"/>
              </w:rPr>
              <w:t xml:space="preserve">lib/kpi-data/get-rows.ts</w:t>
            </w:r>
          </w:p>
        </w:tc>
        <w:tc>
          <w:tcPr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222933"/>
                <w:sz w:val="19"/>
                <w:szCs w:val="19"/>
              </w:rPr>
              <w:t xml:space="preserve">Sheet → typed rows.</w:t>
            </w:r>
          </w:p>
        </w:tc>
      </w:tr>
      <w:tr>
        <w:tc>
          <w:tcPr>
            <w:shd w:fill="F6F8F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222933"/>
                <w:sz w:val="19"/>
                <w:szCs w:val="19"/>
              </w:rPr>
              <w:t xml:space="preserve">lib/kpi-NN/</w:t>
            </w:r>
          </w:p>
        </w:tc>
        <w:tc>
          <w:tcPr>
            <w:shd w:fill="F6F8F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222933"/>
                <w:sz w:val="19"/>
                <w:szCs w:val="19"/>
              </w:rPr>
              <w:t xml:space="preserve">Per-KPI calculation + dashboard data.</w:t>
            </w:r>
          </w:p>
        </w:tc>
      </w:tr>
      <w:tr>
        <w:tc>
          <w:tcPr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222933"/>
                <w:sz w:val="19"/>
                <w:szCs w:val="19"/>
              </w:rPr>
              <w:t xml:space="preserve">lib/executive-summary/</w:t>
            </w:r>
          </w:p>
        </w:tc>
        <w:tc>
          <w:tcPr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222933"/>
                <w:sz w:val="19"/>
                <w:szCs w:val="19"/>
              </w:rPr>
              <w:t xml:space="preserve">Adapters + portfolio aggregate.</w:t>
            </w:r>
          </w:p>
        </w:tc>
      </w:tr>
      <w:tr>
        <w:tc>
          <w:tcPr>
            <w:shd w:fill="F6F8F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222933"/>
                <w:sz w:val="19"/>
                <w:szCs w:val="19"/>
              </w:rPr>
              <w:t xml:space="preserve">lib/notifications/</w:t>
            </w:r>
          </w:p>
        </w:tc>
        <w:tc>
          <w:tcPr>
            <w:shd w:fill="F6F8F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222933"/>
                <w:sz w:val="19"/>
                <w:szCs w:val="19"/>
              </w:rPr>
              <w:t xml:space="preserve">Evaluate engine, transports, identity, queries.</w:t>
            </w:r>
          </w:p>
        </w:tc>
      </w:tr>
      <w:tr>
        <w:tc>
          <w:tcPr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222933"/>
                <w:sz w:val="19"/>
                <w:szCs w:val="19"/>
              </w:rPr>
              <w:t xml:space="preserve">lib/db/</w:t>
            </w:r>
          </w:p>
        </w:tc>
        <w:tc>
          <w:tcPr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222933"/>
                <w:sz w:val="19"/>
                <w:szCs w:val="19"/>
              </w:rPr>
              <w:t xml:space="preserve">Azure PostgreSQL client (pg + optional Entra auth) + Drizzle schema.</w:t>
            </w:r>
          </w:p>
        </w:tc>
      </w:tr>
      <w:tr>
        <w:tc>
          <w:tcPr>
            <w:shd w:fill="F6F8F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222933"/>
                <w:sz w:val="19"/>
                <w:szCs w:val="19"/>
              </w:rPr>
              <w:t xml:space="preserve">app/notifications/, app/help/</w:t>
            </w:r>
          </w:p>
        </w:tc>
        <w:tc>
          <w:tcPr>
            <w:shd w:fill="F6F8F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222933"/>
                <w:sz w:val="19"/>
                <w:szCs w:val="19"/>
              </w:rPr>
              <w:t xml:space="preserve">Notification centre and manuals download page.</w:t>
            </w:r>
          </w:p>
        </w:tc>
      </w:tr>
      <w:tr>
        <w:tc>
          <w:tcPr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222933"/>
                <w:sz w:val="19"/>
                <w:szCs w:val="19"/>
              </w:rPr>
              <w:t xml:space="preserve">app/api/notifications/evaluate/</w:t>
            </w:r>
          </w:p>
        </w:tc>
        <w:tc>
          <w:tcPr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color w:val="222933"/>
                <w:sz w:val="19"/>
                <w:szCs w:val="19"/>
              </w:rPr>
              <w:t xml:space="preserve">Secret-protected evaluation trigger.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5DBE5" w:sz="4"/>
      </w:pBdr>
      <w:jc w:val="center"/>
    </w:pPr>
    <w:r>
      <w:rPr>
        <w:color w:val="5B6472"/>
        <w:sz w:val="16"/>
        <w:szCs w:val="16"/>
      </w:rPr>
      <w:t xml:space="preserve">CNS HIAA Airport KPI Dashboard  ·  Page </w:t>
    </w:r>
    <w:r>
      <w:rPr>
        <w:color w:val="5B6472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BE5" w:sz="4"/>
      </w:pBdr>
      <w:spacing w:after="40"/>
      <w:jc w:val="right"/>
    </w:pPr>
    <w:r>
      <w:rPr>
        <w:color w:val="5B6472"/>
        <w:sz w:val="16"/>
        <w:szCs w:val="16"/>
      </w:rPr>
      <w:t xml:space="preserve">CNS HIAA KPI Dashboard — IT &amp; Technical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9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CNS HIAA KPI Dashboard — IT &amp; Technical Guide</dc:title>
  <dc:creator>CNS HIAA KPI Dashboard</dc:creator>
  <cp:lastModifiedBy>Un-named</cp:lastModifiedBy>
  <cp:revision>1</cp:revision>
  <dcterms:created xsi:type="dcterms:W3CDTF">2026-08-01T22:52:02.735Z</dcterms:created>
  <dcterms:modified xsi:type="dcterms:W3CDTF">2026-08-01T22:52:02.735Z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