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E8622C"/>
          <w:sz w:val="40"/>
          <w:szCs w:val="40"/>
        </w:rPr>
        <w:t xml:space="preserve">CNS HIAA</w:t>
      </w:r>
    </w:p>
    <w:p>
      <w:pPr>
        <w:spacing w:after="40"/>
      </w:pPr>
      <w:r>
        <w:rPr>
          <w:b/>
          <w:bCs/>
          <w:color w:val="1E3A5F"/>
          <w:sz w:val="34"/>
          <w:szCs w:val="34"/>
        </w:rPr>
        <w:t xml:space="preserve">KPI Dashboard - SharePoint Data Linking Guide</w:t>
      </w:r>
    </w:p>
    <w:p>
      <w:pPr>
        <w:spacing w:after="240"/>
      </w:pPr>
      <w:r>
        <w:rPr>
          <w:i/>
          <w:iCs/>
          <w:color w:val="6B7280"/>
          <w:sz w:val="22"/>
          <w:szCs w:val="22"/>
        </w:rPr>
        <w:t xml:space="preserve">How to connect the KPI-01 through KPI-21 spreadsheets in the HIAA KPI SharePoint site to the live dashboard application.</w:t>
      </w:r>
    </w:p>
    <w:p>
      <w:pPr>
        <w:pStyle w:val="Heading1"/>
        <w:spacing w:after="140" w:before="360"/>
      </w:pPr>
      <w:r>
        <w:rPr>
          <w:b/>
          <w:bCs/>
          <w:color w:val="1E3A5F"/>
          <w:sz w:val="30"/>
          <w:szCs w:val="30"/>
        </w:rPr>
        <w:t xml:space="preserve">1. How the connection works</w:t>
      </w:r>
    </w:p>
    <w:p>
      <w:pPr>
        <w:spacing w:after="120" w:line="288"/>
      </w:pPr>
      <w:r>
        <w:rPr>
          <w:sz w:val="22"/>
          <w:szCs w:val="22"/>
        </w:rPr>
        <w:t xml:space="preserve">The dashboard application does not store its own copy of the KPI numbers. Each dashboard reads the underlying Excel workbook at request time and renders the charts and tables from whatever is currently in that file. When you update a spreadsheet in SharePoint, the dashboard reflects the change automatically (within the refresh window described in Section 6).</w:t>
      </w:r>
    </w:p>
    <w:p>
      <w:pPr>
        <w:spacing w:after="120" w:line="288"/>
      </w:pPr>
      <w:r>
        <w:rPr>
          <w:b/>
          <w:bCs/>
          <w:sz w:val="22"/>
          <w:szCs w:val="22"/>
        </w:rPr>
        <w:t xml:space="preserve">For every KPI the app resolves data in this order:</w:t>
      </w:r>
    </w:p>
    <w:p>
      <w:pPr>
        <w:pStyle w:val="ListParagraph"/>
        <w:numPr>
          <w:ilvl w:val="0"/>
          <w:numId w:val="1"/>
        </w:numPr>
        <w:spacing w:after="60" w:line="276"/>
      </w:pPr>
      <w:r>
        <w:rPr>
          <w:b/>
          <w:bCs/>
          <w:sz w:val="22"/>
          <w:szCs w:val="22"/>
        </w:rPr>
        <w:t xml:space="preserve">1. SharePoint (preferred).</w:t>
      </w:r>
      <w:r>
        <w:rPr>
          <w:sz w:val="22"/>
          <w:szCs w:val="22"/>
        </w:rPr>
        <w:t xml:space="preserve"> When the SharePoint credentials are present, the app downloads each </w:t>
      </w:r>
      <w:r>
        <w:rPr>
          <w:rFonts w:ascii="Consolas" w:cs="Consolas" w:eastAsia="Consolas" w:hAnsi="Consolas"/>
          <w:color w:val="1E3A5F"/>
          <w:sz w:val="20"/>
          <w:szCs w:val="20"/>
        </w:rPr>
        <w:t xml:space="preserve">kpi-NN.xlsx</w:t>
      </w:r>
      <w:r>
        <w:rPr>
          <w:sz w:val="22"/>
          <w:szCs w:val="22"/>
        </w:rPr>
        <w:t xml:space="preserve"> file from the HIAA KPI site's document library through Microsoft Graph. It resolves files by site + folder path, so no browser "Copy link" URL (the </w:t>
      </w:r>
      <w:r>
        <w:rPr>
          <w:rFonts w:ascii="Consolas" w:cs="Consolas" w:eastAsia="Consolas" w:hAnsi="Consolas"/>
          <w:color w:val="1E3A5F"/>
          <w:sz w:val="20"/>
          <w:szCs w:val="20"/>
        </w:rPr>
        <w:t xml:space="preserve">Doc.aspx?sourcedoc={GUID}</w:t>
      </w:r>
      <w:r>
        <w:rPr>
          <w:sz w:val="22"/>
          <w:szCs w:val="22"/>
        </w:rPr>
        <w:t xml:space="preserve"> kind) is ever needed.</w:t>
      </w:r>
    </w:p>
    <w:p>
      <w:pPr>
        <w:pStyle w:val="ListParagraph"/>
        <w:numPr>
          <w:ilvl w:val="0"/>
          <w:numId w:val="1"/>
        </w:numPr>
        <w:spacing w:after="60" w:line="276"/>
      </w:pPr>
      <w:r>
        <w:rPr>
          <w:b/>
          <w:bCs/>
          <w:sz w:val="22"/>
          <w:szCs w:val="22"/>
        </w:rPr>
        <w:t xml:space="preserve">2. Local fallback.</w:t>
      </w:r>
      <w:r>
        <w:rPr>
          <w:sz w:val="22"/>
          <w:szCs w:val="22"/>
        </w:rPr>
        <w:t xml:space="preserve"> If SharePoint is not configured, or a download fails, the app uses a bundled copy of each workbook so the site never goes blank.</w:t>
      </w:r>
    </w:p>
    <w:p>
      <w:pPr>
        <w:pBdr>
          <w:left w:val="single" w:color="E8622C" w:sz="18" w:space="8"/>
        </w:pBdr>
        <w:shd w:fill="FDF1E7" w:color="auto" w:val="clear"/>
        <w:spacing w:after="120" w:before="80" w:line="276"/>
      </w:pPr>
      <w:r>
        <w:rPr>
          <w:b/>
          <w:bCs/>
          <w:color w:val="E8622C"/>
          <w:sz w:val="22"/>
          <w:szCs w:val="22"/>
        </w:rPr>
        <w:t xml:space="preserve">Note: </w:t>
      </w:r>
      <w:r>
        <w:rPr>
          <w:sz w:val="22"/>
          <w:szCs w:val="22"/>
        </w:rPr>
        <w:t xml:space="preserve">This means the app is safe to deploy today on the fallback data. The moment the environment variables in Section 4 are added, every dashboard switches to live SharePoint data with no code change and no rebuild required.</w:t>
      </w:r>
    </w:p>
    <w:p>
      <w:pPr>
        <w:pStyle w:val="Heading1"/>
        <w:spacing w:after="140" w:before="360"/>
      </w:pPr>
      <w:r>
        <w:rPr>
          <w:b/>
          <w:bCs/>
          <w:color w:val="1E3A5F"/>
          <w:sz w:val="30"/>
          <w:szCs w:val="30"/>
        </w:rPr>
        <w:t xml:space="preserve">2. What you need before you start</w:t>
      </w:r>
    </w:p>
    <w:p>
      <w:pPr>
        <w:pStyle w:val="ListParagraph"/>
        <w:numPr>
          <w:ilvl w:val="0"/>
          <w:numId w:val="1"/>
        </w:numPr>
        <w:spacing w:after="60" w:line="276"/>
      </w:pPr>
      <w:r>
        <w:rPr>
          <w:sz w:val="22"/>
          <w:szCs w:val="22"/>
        </w:rPr>
        <w:t xml:space="preserve">A </w:t>
      </w:r>
      <w:r>
        <w:rPr>
          <w:b/>
          <w:bCs/>
          <w:sz w:val="22"/>
          <w:szCs w:val="22"/>
        </w:rPr>
        <w:t xml:space="preserve">SharePoint Online</w:t>
      </w:r>
      <w:r>
        <w:rPr>
          <w:sz w:val="22"/>
          <w:szCs w:val="22"/>
        </w:rPr>
        <w:t xml:space="preserve"> site for the HIAA KPIs (yours is </w:t>
      </w:r>
      <w:r>
        <w:rPr>
          <w:rFonts w:ascii="Consolas" w:cs="Consolas" w:eastAsia="Consolas" w:hAnsi="Consolas"/>
          <w:color w:val="1E3A5F"/>
          <w:sz w:val="20"/>
          <w:szCs w:val="20"/>
        </w:rPr>
        <w:t xml:space="preserve">https://commissionairesns.sharepoint.com/sites/HIAAKPIs</w:t>
      </w:r>
      <w:r>
        <w:rPr>
          <w:sz w:val="22"/>
          <w:szCs w:val="22"/>
        </w:rPr>
        <w:t xml:space="preserve">).</w:t>
      </w:r>
    </w:p>
    <w:p>
      <w:pPr>
        <w:pStyle w:val="ListParagraph"/>
        <w:numPr>
          <w:ilvl w:val="0"/>
          <w:numId w:val="1"/>
        </w:numPr>
        <w:spacing w:after="60" w:line="276"/>
      </w:pPr>
      <w:r>
        <w:rPr>
          <w:b/>
          <w:bCs/>
          <w:sz w:val="22"/>
          <w:szCs w:val="22"/>
        </w:rPr>
        <w:t xml:space="preserve">Microsoft Entra ID (Azure AD) admin rights</w:t>
      </w:r>
      <w:r>
        <w:rPr>
          <w:sz w:val="22"/>
          <w:szCs w:val="22"/>
        </w:rPr>
        <w:t xml:space="preserve">, or help from someone who can register an app and grant admin consent.</w:t>
      </w:r>
    </w:p>
    <w:p>
      <w:pPr>
        <w:pStyle w:val="ListParagraph"/>
        <w:numPr>
          <w:ilvl w:val="0"/>
          <w:numId w:val="1"/>
        </w:numPr>
        <w:spacing w:after="60" w:line="276"/>
      </w:pPr>
      <w:r>
        <w:rPr>
          <w:b/>
          <w:bCs/>
          <w:sz w:val="22"/>
          <w:szCs w:val="22"/>
        </w:rPr>
        <w:t xml:space="preserve">Owner/Manager access</w:t>
      </w:r>
      <w:r>
        <w:rPr>
          <w:sz w:val="22"/>
          <w:szCs w:val="22"/>
        </w:rPr>
        <w:t xml:space="preserve"> to the dashboard project's environment variable settings (to paste the credentials).</w:t>
      </w:r>
    </w:p>
    <w:p>
      <w:pPr>
        <w:pStyle w:val="ListParagraph"/>
        <w:numPr>
          <w:ilvl w:val="0"/>
          <w:numId w:val="1"/>
        </w:numPr>
        <w:spacing w:after="60" w:line="276"/>
      </w:pPr>
      <w:r>
        <w:rPr>
          <w:sz w:val="22"/>
          <w:szCs w:val="22"/>
        </w:rPr>
        <w:t xml:space="preserve">The 21 KPI workbooks, one Excel file per KPI.</w:t>
      </w:r>
    </w:p>
    <w:p>
      <w:pPr>
        <w:pStyle w:val="Heading1"/>
        <w:spacing w:after="140" w:before="360"/>
      </w:pPr>
      <w:r>
        <w:rPr>
          <w:b/>
          <w:bCs/>
          <w:color w:val="1E3A5F"/>
          <w:sz w:val="30"/>
          <w:szCs w:val="30"/>
        </w:rPr>
        <w:t xml:space="preserve">3. Step 1 - Confirm the SharePoint file layout</w:t>
      </w:r>
    </w:p>
    <w:p>
      <w:pPr>
        <w:spacing w:after="120" w:line="288"/>
      </w:pPr>
      <w:r>
        <w:rPr>
          <w:sz w:val="22"/>
          <w:szCs w:val="22"/>
        </w:rPr>
        <w:t xml:space="preserve">The app reads each workbook from the HIAA KPI site's document library by file name. The file names must match exactly. The default layout is flat - all 21 files sit directly in one library - which matches how your files are currently stored (for example the link `.../HIAAKPIs/.../file=kpi-01.xlsx`).</w:t>
      </w:r>
    </w:p>
    <w:p>
      <w:pPr>
        <w:pStyle w:val="ListParagraph"/>
        <w:numPr>
          <w:ilvl w:val="0"/>
          <w:numId w:val="2"/>
        </w:numPr>
        <w:spacing w:after="80" w:line="276"/>
      </w:pPr>
      <w:r>
        <w:rPr>
          <w:sz w:val="22"/>
          <w:szCs w:val="22"/>
        </w:rPr>
        <w:t xml:space="preserve">Open the </w:t>
      </w:r>
      <w:r>
        <w:rPr>
          <w:b/>
          <w:bCs/>
          <w:sz w:val="22"/>
          <w:szCs w:val="22"/>
        </w:rPr>
        <w:t xml:space="preserve">HIAA KPI</w:t>
      </w:r>
      <w:r>
        <w:rPr>
          <w:sz w:val="22"/>
          <w:szCs w:val="22"/>
        </w:rPr>
        <w:t xml:space="preserve"> SharePoint site (</w:t>
      </w:r>
      <w:r>
        <w:rPr>
          <w:rFonts w:ascii="Consolas" w:cs="Consolas" w:eastAsia="Consolas" w:hAnsi="Consolas"/>
          <w:color w:val="1E3A5F"/>
          <w:sz w:val="20"/>
          <w:szCs w:val="20"/>
        </w:rPr>
        <w:t xml:space="preserve">https://commissionairesns.sharepoint.com/sites/HIAAKPIs</w:t>
      </w:r>
      <w:r>
        <w:rPr>
          <w:sz w:val="22"/>
          <w:szCs w:val="22"/>
        </w:rPr>
        <w:t xml:space="preserve">) and go to the </w:t>
      </w:r>
      <w:r>
        <w:rPr>
          <w:b/>
          <w:bCs/>
          <w:sz w:val="22"/>
          <w:szCs w:val="22"/>
        </w:rPr>
        <w:t xml:space="preserve">Documents</w:t>
      </w:r>
      <w:r>
        <w:rPr>
          <w:sz w:val="22"/>
          <w:szCs w:val="22"/>
        </w:rPr>
        <w:t xml:space="preserve"> library.</w:t>
      </w:r>
    </w:p>
    <w:p>
      <w:pPr>
        <w:pStyle w:val="ListParagraph"/>
        <w:numPr>
          <w:ilvl w:val="0"/>
          <w:numId w:val="2"/>
        </w:numPr>
        <w:spacing w:after="80" w:line="276"/>
      </w:pPr>
      <w:r>
        <w:rPr>
          <w:sz w:val="22"/>
          <w:szCs w:val="22"/>
        </w:rPr>
        <w:t xml:space="preserve">Place all </w:t>
      </w:r>
      <w:r>
        <w:rPr>
          <w:b/>
          <w:bCs/>
          <w:sz w:val="22"/>
          <w:szCs w:val="22"/>
        </w:rPr>
        <w:t xml:space="preserve">21 workbooks</w:t>
      </w:r>
      <w:r>
        <w:rPr>
          <w:sz w:val="22"/>
          <w:szCs w:val="22"/>
        </w:rPr>
        <w:t xml:space="preserve"> in that library, named exactly: </w:t>
      </w:r>
      <w:r>
        <w:rPr>
          <w:rFonts w:ascii="Consolas" w:cs="Consolas" w:eastAsia="Consolas" w:hAnsi="Consolas"/>
          <w:color w:val="1E3A5F"/>
          <w:sz w:val="20"/>
          <w:szCs w:val="20"/>
        </w:rPr>
        <w:t xml:space="preserve">kpi-01.xlsx</w:t>
      </w:r>
      <w:r>
        <w:rPr>
          <w:sz w:val="22"/>
          <w:szCs w:val="22"/>
        </w:rPr>
        <w:t xml:space="preserve">, </w:t>
      </w:r>
      <w:r>
        <w:rPr>
          <w:rFonts w:ascii="Consolas" w:cs="Consolas" w:eastAsia="Consolas" w:hAnsi="Consolas"/>
          <w:color w:val="1E3A5F"/>
          <w:sz w:val="20"/>
          <w:szCs w:val="20"/>
        </w:rPr>
        <w:t xml:space="preserve">kpi-02.xlsx</w:t>
      </w:r>
      <w:r>
        <w:rPr>
          <w:sz w:val="22"/>
          <w:szCs w:val="22"/>
        </w:rPr>
        <w:t xml:space="preserve">, </w:t>
      </w:r>
      <w:r>
        <w:rPr>
          <w:rFonts w:ascii="Consolas" w:cs="Consolas" w:eastAsia="Consolas" w:hAnsi="Consolas"/>
          <w:color w:val="1E3A5F"/>
          <w:sz w:val="20"/>
          <w:szCs w:val="20"/>
        </w:rPr>
        <w:t xml:space="preserve">kpi-03.xlsx</w:t>
      </w:r>
      <w:r>
        <w:rPr>
          <w:sz w:val="22"/>
          <w:szCs w:val="22"/>
        </w:rPr>
        <w:t xml:space="preserve">, ... through </w:t>
      </w:r>
      <w:r>
        <w:rPr>
          <w:rFonts w:ascii="Consolas" w:cs="Consolas" w:eastAsia="Consolas" w:hAnsi="Consolas"/>
          <w:color w:val="1E3A5F"/>
          <w:sz w:val="20"/>
          <w:szCs w:val="20"/>
        </w:rPr>
        <w:t xml:space="preserve">kpi-21.xlsx</w:t>
      </w:r>
      <w:r>
        <w:rPr>
          <w:sz w:val="22"/>
          <w:szCs w:val="22"/>
        </w:rPr>
        <w:t xml:space="preserve"> (lower-case, with a hyphen, </w:t>
      </w:r>
      <w:r>
        <w:rPr>
          <w:rFonts w:ascii="Consolas" w:cs="Consolas" w:eastAsia="Consolas" w:hAnsi="Consolas"/>
          <w:color w:val="1E3A5F"/>
          <w:sz w:val="20"/>
          <w:szCs w:val="20"/>
        </w:rPr>
        <w:t xml:space="preserve">.xlsx</w:t>
      </w:r>
      <w:r>
        <w:rPr>
          <w:sz w:val="22"/>
          <w:szCs w:val="22"/>
        </w:rPr>
        <w:t xml:space="preserve"> extension).</w:t>
      </w:r>
    </w:p>
    <w:p>
      <w:pPr>
        <w:pStyle w:val="ListParagraph"/>
        <w:numPr>
          <w:ilvl w:val="0"/>
          <w:numId w:val="2"/>
        </w:numPr>
        <w:spacing w:after="80" w:line="276"/>
      </w:pPr>
      <w:r>
        <w:rPr>
          <w:sz w:val="22"/>
          <w:szCs w:val="22"/>
        </w:rPr>
        <w:t xml:space="preserve">If the files live inside a sub-folder of the library (for example a Teams channel folder such as </w:t>
      </w:r>
      <w:r>
        <w:rPr>
          <w:b/>
          <w:bCs/>
          <w:sz w:val="22"/>
          <w:szCs w:val="22"/>
        </w:rPr>
        <w:t xml:space="preserve">General</w:t>
      </w:r>
      <w:r>
        <w:rPr>
          <w:sz w:val="22"/>
          <w:szCs w:val="22"/>
        </w:rPr>
        <w:t xml:space="preserve">, or a </w:t>
      </w:r>
      <w:r>
        <w:rPr>
          <w:b/>
          <w:bCs/>
          <w:sz w:val="22"/>
          <w:szCs w:val="22"/>
        </w:rPr>
        <w:t xml:space="preserve">KPI Dashboards</w:t>
      </w:r>
      <w:r>
        <w:rPr>
          <w:sz w:val="22"/>
          <w:szCs w:val="22"/>
        </w:rPr>
        <w:t xml:space="preserve"> folder), note that folder name - it becomes the </w:t>
      </w:r>
      <w:r>
        <w:rPr>
          <w:rFonts w:ascii="Consolas" w:cs="Consolas" w:eastAsia="Consolas" w:hAnsi="Consolas"/>
          <w:color w:val="1E3A5F"/>
          <w:sz w:val="20"/>
          <w:szCs w:val="20"/>
        </w:rPr>
        <w:t xml:space="preserve">SHAREPOINT_BASE_PATH</w:t>
      </w:r>
      <w:r>
        <w:rPr>
          <w:sz w:val="22"/>
          <w:szCs w:val="22"/>
        </w:rPr>
        <w:t xml:space="preserve"> value in Section 5. If they sit at the top level, leave that value blank.</w:t>
      </w:r>
    </w:p>
    <w:p>
      <w:pPr>
        <w:pStyle w:val="ListParagraph"/>
        <w:numPr>
          <w:ilvl w:val="0"/>
          <w:numId w:val="2"/>
        </w:numPr>
        <w:spacing w:after="80" w:line="276"/>
      </w:pPr>
      <w:r>
        <w:rPr>
          <w:sz w:val="22"/>
          <w:szCs w:val="22"/>
        </w:rPr>
        <w:t xml:space="preserve">Confirm every file uses the </w:t>
      </w:r>
      <w:r>
        <w:rPr>
          <w:rFonts w:ascii="Consolas" w:cs="Consolas" w:eastAsia="Consolas" w:hAnsi="Consolas"/>
          <w:color w:val="1E3A5F"/>
          <w:sz w:val="20"/>
          <w:szCs w:val="20"/>
        </w:rPr>
        <w:t xml:space="preserve">.xlsx</w:t>
      </w:r>
      <w:r>
        <w:rPr>
          <w:sz w:val="22"/>
          <w:szCs w:val="22"/>
        </w:rPr>
        <w:t xml:space="preserve"> extension (not </w:t>
      </w:r>
      <w:r>
        <w:rPr>
          <w:rFonts w:ascii="Consolas" w:cs="Consolas" w:eastAsia="Consolas" w:hAnsi="Consolas"/>
          <w:color w:val="1E3A5F"/>
          <w:sz w:val="20"/>
          <w:szCs w:val="20"/>
        </w:rPr>
        <w:t xml:space="preserve">.xls</w:t>
      </w:r>
      <w:r>
        <w:rPr>
          <w:sz w:val="22"/>
          <w:szCs w:val="22"/>
        </w:rPr>
        <w:t xml:space="preserve"> or </w:t>
      </w:r>
      <w:r>
        <w:rPr>
          <w:rFonts w:ascii="Consolas" w:cs="Consolas" w:eastAsia="Consolas" w:hAnsi="Consolas"/>
          <w:color w:val="1E3A5F"/>
          <w:sz w:val="20"/>
          <w:szCs w:val="20"/>
        </w:rPr>
        <w:t xml:space="preserve">.xlsm</w:t>
      </w:r>
      <w:r>
        <w:rPr>
          <w:sz w:val="22"/>
          <w:szCs w:val="22"/>
        </w:rPr>
        <w:t xml:space="preserve">).</w:t>
      </w:r>
    </w:p>
    <w:p>
      <w:pPr>
        <w:pBdr>
          <w:left w:val="single" w:color="E8622C" w:sz="18" w:space="8"/>
        </w:pBdr>
        <w:shd w:fill="FDF1E7" w:color="auto" w:val="clear"/>
        <w:spacing w:after="120" w:before="80" w:line="276"/>
      </w:pPr>
      <w:r>
        <w:rPr>
          <w:b/>
          <w:bCs/>
          <w:color w:val="E8622C"/>
          <w:sz w:val="22"/>
          <w:szCs w:val="22"/>
        </w:rPr>
        <w:t xml:space="preserve">Note: </w:t>
      </w:r>
      <w:r>
        <w:rPr>
          <w:sz w:val="22"/>
          <w:szCs w:val="22"/>
        </w:rPr>
        <w:t xml:space="preserve">Do not rename the worksheet tabs or the column headers inside the workbooks. Each dashboard reads specific sheet names and columns; renaming them will break parsing even though the file name is correct. It is safe to add or change the data rows - that is the whole point.</w:t>
      </w:r>
    </w:p>
    <w:p>
      <w:pPr>
        <w:spacing w:after="80"/>
      </w:pPr>
      <w:r>
        <w:t xml:space="preserve"/>
      </w:r>
    </w:p>
    <w:p>
      <w:pPr>
        <w:spacing w:after="120" w:line="288"/>
      </w:pPr>
      <w:r>
        <w:rPr>
          <w:b/>
          <w:bCs/>
          <w:sz w:val="22"/>
          <w:szCs w:val="22"/>
        </w:rPr>
        <w:t xml:space="preserve">The default (flat) layout looks like this:</w:t>
      </w:r>
    </w:p>
    <w:p>
      <w:pPr>
        <w:spacing w:after="120" w:line="288"/>
      </w:pPr>
      <w:r>
        <w:rPr>
          <w:rFonts w:ascii="Consolas" w:cs="Consolas" w:eastAsia="Consolas" w:hAnsi="Consolas"/>
          <w:color w:val="1E3A5F"/>
          <w:sz w:val="20"/>
          <w:szCs w:val="20"/>
        </w:rPr>
        <w:t xml:space="preserve">Documents / kpi-01.xlsx</w:t>
      </w:r>
    </w:p>
    <w:p>
      <w:pPr>
        <w:spacing w:after="120" w:line="288"/>
      </w:pPr>
      <w:r>
        <w:rPr>
          <w:rFonts w:ascii="Consolas" w:cs="Consolas" w:eastAsia="Consolas" w:hAnsi="Consolas"/>
          <w:color w:val="1E3A5F"/>
          <w:sz w:val="20"/>
          <w:szCs w:val="20"/>
        </w:rPr>
        <w:t xml:space="preserve">Documents / kpi-02.xlsx</w:t>
      </w:r>
    </w:p>
    <w:p>
      <w:pPr>
        <w:spacing w:after="120" w:line="288"/>
      </w:pPr>
      <w:r>
        <w:rPr>
          <w:rFonts w:ascii="Consolas" w:cs="Consolas" w:eastAsia="Consolas" w:hAnsi="Consolas"/>
          <w:color w:val="1E3A5F"/>
          <w:sz w:val="20"/>
          <w:szCs w:val="20"/>
        </w:rPr>
        <w:t xml:space="preserve">...</w:t>
      </w:r>
    </w:p>
    <w:p>
      <w:pPr>
        <w:spacing w:after="120" w:line="288"/>
      </w:pPr>
      <w:r>
        <w:rPr>
          <w:rFonts w:ascii="Consolas" w:cs="Consolas" w:eastAsia="Consolas" w:hAnsi="Consolas"/>
          <w:color w:val="1E3A5F"/>
          <w:sz w:val="20"/>
          <w:szCs w:val="20"/>
        </w:rPr>
        <w:t xml:space="preserve">Documents / kpi-21.xlsx</w:t>
      </w:r>
    </w:p>
    <w:p>
      <w:pPr>
        <w:spacing w:after="80"/>
      </w:pPr>
      <w:r>
        <w:t xml:space="preserve"/>
      </w:r>
    </w:p>
    <w:p>
      <w:pPr>
        <w:pBdr>
          <w:left w:val="single" w:color="E8622C" w:sz="18" w:space="8"/>
        </w:pBdr>
        <w:shd w:fill="FDF1E7" w:color="auto" w:val="clear"/>
        <w:spacing w:after="120" w:before="80" w:line="276"/>
      </w:pPr>
      <w:r>
        <w:rPr>
          <w:b/>
          <w:bCs/>
          <w:color w:val="E8622C"/>
          <w:sz w:val="22"/>
          <w:szCs w:val="22"/>
        </w:rPr>
        <w:t xml:space="preserve">Note: </w:t>
      </w:r>
      <w:r>
        <w:rPr>
          <w:sz w:val="22"/>
          <w:szCs w:val="22"/>
        </w:rPr>
        <w:t xml:space="preserve">If your files are instead nested one-folder-per-KPI (kpi-01/kpi-01.xlsx), you do not need to move them - just set </w:t>
      </w:r>
      <w:r>
        <w:rPr>
          <w:rFonts w:ascii="Consolas" w:cs="Consolas" w:eastAsia="Consolas" w:hAnsi="Consolas"/>
          <w:color w:val="1E3A5F"/>
          <w:sz w:val="20"/>
          <w:szCs w:val="20"/>
        </w:rPr>
        <w:t xml:space="preserve">SHAREPOINT_FILE_TEMPLATE</w:t>
      </w:r>
      <w:r>
        <w:rPr>
          <w:sz w:val="22"/>
          <w:szCs w:val="22"/>
        </w:rPr>
        <w:t xml:space="preserve"> to </w:t>
      </w:r>
      <w:r>
        <w:rPr>
          <w:rFonts w:ascii="Consolas" w:cs="Consolas" w:eastAsia="Consolas" w:hAnsi="Consolas"/>
          <w:color w:val="1E3A5F"/>
          <w:sz w:val="20"/>
          <w:szCs w:val="20"/>
        </w:rPr>
        <w:t xml:space="preserve">{id}/{id}.xlsx</w:t>
      </w:r>
      <w:r>
        <w:rPr>
          <w:sz w:val="22"/>
          <w:szCs w:val="22"/>
        </w:rPr>
        <w:t xml:space="preserve"> in Section 5. The </w:t>
      </w:r>
      <w:r>
        <w:rPr>
          <w:rFonts w:ascii="Consolas" w:cs="Consolas" w:eastAsia="Consolas" w:hAnsi="Consolas"/>
          <w:color w:val="1E3A5F"/>
          <w:sz w:val="20"/>
          <w:szCs w:val="20"/>
        </w:rPr>
        <w:t xml:space="preserve">{id}</w:t>
      </w:r>
      <w:r>
        <w:rPr>
          <w:sz w:val="22"/>
          <w:szCs w:val="22"/>
        </w:rPr>
        <w:t xml:space="preserve"> placeholder expands to kpi-01 ... kpi-21.</w:t>
      </w:r>
    </w:p>
    <w:p>
      <w:pPr>
        <w:pStyle w:val="Heading1"/>
        <w:spacing w:after="140" w:before="360"/>
      </w:pPr>
      <w:r>
        <w:rPr>
          <w:b/>
          <w:bCs/>
          <w:color w:val="1E3A5F"/>
          <w:sz w:val="30"/>
          <w:szCs w:val="30"/>
        </w:rPr>
        <w:t xml:space="preserve">4. Step 2 - Register an app for secure read access</w:t>
      </w:r>
    </w:p>
    <w:p>
      <w:pPr>
        <w:spacing w:after="120" w:line="288"/>
      </w:pPr>
      <w:r>
        <w:rPr>
          <w:sz w:val="22"/>
          <w:szCs w:val="22"/>
        </w:rPr>
        <w:t xml:space="preserve">The dashboard reads SharePoint using an app-only (client credentials) connection to Microsoft Graph. You register an application once, give it read access to the site, and generate a secret.</w:t>
      </w:r>
    </w:p>
    <w:p>
      <w:pPr>
        <w:pStyle w:val="Heading2"/>
        <w:spacing w:after="100" w:before="260"/>
      </w:pPr>
      <w:r>
        <w:rPr>
          <w:b/>
          <w:bCs/>
          <w:color w:val="E8622C"/>
          <w:sz w:val="26"/>
          <w:szCs w:val="26"/>
        </w:rPr>
        <w:t xml:space="preserve">4.1 Create the app registration</w:t>
      </w:r>
    </w:p>
    <w:p>
      <w:pPr>
        <w:pStyle w:val="ListParagraph"/>
        <w:numPr>
          <w:ilvl w:val="0"/>
          <w:numId w:val="2"/>
        </w:numPr>
        <w:spacing w:after="80" w:line="276"/>
      </w:pPr>
      <w:r>
        <w:rPr>
          <w:sz w:val="22"/>
          <w:szCs w:val="22"/>
        </w:rPr>
        <w:t xml:space="preserve">Go to the </w:t>
      </w:r>
      <w:r>
        <w:rPr>
          <w:b/>
          <w:bCs/>
          <w:sz w:val="22"/>
          <w:szCs w:val="22"/>
        </w:rPr>
        <w:t xml:space="preserve">Microsoft Entra admin center</w:t>
      </w:r>
      <w:r>
        <w:rPr>
          <w:sz w:val="22"/>
          <w:szCs w:val="22"/>
        </w:rPr>
        <w:t xml:space="preserve"> (entra.microsoft.com) &gt; </w:t>
      </w:r>
      <w:r>
        <w:rPr>
          <w:b/>
          <w:bCs/>
          <w:sz w:val="22"/>
          <w:szCs w:val="22"/>
        </w:rPr>
        <w:t xml:space="preserve">Identity</w:t>
      </w:r>
      <w:r>
        <w:rPr>
          <w:sz w:val="22"/>
          <w:szCs w:val="22"/>
        </w:rPr>
        <w:t xml:space="preserve"> &gt; </w:t>
      </w:r>
      <w:r>
        <w:rPr>
          <w:b/>
          <w:bCs/>
          <w:sz w:val="22"/>
          <w:szCs w:val="22"/>
        </w:rPr>
        <w:t xml:space="preserve">Applications</w:t>
      </w:r>
      <w:r>
        <w:rPr>
          <w:sz w:val="22"/>
          <w:szCs w:val="22"/>
        </w:rPr>
        <w:t xml:space="preserve"> &gt; </w:t>
      </w:r>
      <w:r>
        <w:rPr>
          <w:b/>
          <w:bCs/>
          <w:sz w:val="22"/>
          <w:szCs w:val="22"/>
        </w:rPr>
        <w:t xml:space="preserve">App registrations</w:t>
      </w:r>
      <w:r>
        <w:rPr>
          <w:sz w:val="22"/>
          <w:szCs w:val="22"/>
        </w:rPr>
        <w:t xml:space="preserve"> &gt; </w:t>
      </w:r>
      <w:r>
        <w:rPr>
          <w:b/>
          <w:bCs/>
          <w:sz w:val="22"/>
          <w:szCs w:val="22"/>
        </w:rPr>
        <w:t xml:space="preserve">New registration</w:t>
      </w:r>
      <w:r>
        <w:rPr>
          <w:sz w:val="22"/>
          <w:szCs w:val="22"/>
        </w:rPr>
        <w:t xml:space="preserve">.</w:t>
      </w:r>
    </w:p>
    <w:p>
      <w:pPr>
        <w:pStyle w:val="ListParagraph"/>
        <w:numPr>
          <w:ilvl w:val="0"/>
          <w:numId w:val="2"/>
        </w:numPr>
        <w:spacing w:after="80" w:line="276"/>
      </w:pPr>
      <w:r>
        <w:rPr>
          <w:sz w:val="22"/>
          <w:szCs w:val="22"/>
        </w:rPr>
        <w:t xml:space="preserve">Name it, for example, </w:t>
      </w:r>
      <w:r>
        <w:rPr>
          <w:b/>
          <w:bCs/>
          <w:sz w:val="22"/>
          <w:szCs w:val="22"/>
        </w:rPr>
        <w:t xml:space="preserve">CNS HIAA KPI Dashboard</w:t>
      </w:r>
      <w:r>
        <w:rPr>
          <w:sz w:val="22"/>
          <w:szCs w:val="22"/>
        </w:rPr>
        <w:t xml:space="preserve">. Leave the default single-tenant option and click </w:t>
      </w:r>
      <w:r>
        <w:rPr>
          <w:b/>
          <w:bCs/>
          <w:sz w:val="22"/>
          <w:szCs w:val="22"/>
        </w:rPr>
        <w:t xml:space="preserve">Register</w:t>
      </w:r>
      <w:r>
        <w:rPr>
          <w:sz w:val="22"/>
          <w:szCs w:val="22"/>
        </w:rPr>
        <w:t xml:space="preserve">.</w:t>
      </w:r>
    </w:p>
    <w:p>
      <w:pPr>
        <w:pStyle w:val="ListParagraph"/>
        <w:numPr>
          <w:ilvl w:val="0"/>
          <w:numId w:val="2"/>
        </w:numPr>
        <w:spacing w:after="80" w:line="276"/>
      </w:pPr>
      <w:r>
        <w:rPr>
          <w:sz w:val="22"/>
          <w:szCs w:val="22"/>
        </w:rPr>
        <w:t xml:space="preserve">On the app's </w:t>
      </w:r>
      <w:r>
        <w:rPr>
          <w:b/>
          <w:bCs/>
          <w:sz w:val="22"/>
          <w:szCs w:val="22"/>
        </w:rPr>
        <w:t xml:space="preserve">Overview</w:t>
      </w:r>
      <w:r>
        <w:rPr>
          <w:sz w:val="22"/>
          <w:szCs w:val="22"/>
        </w:rPr>
        <w:t xml:space="preserve"> page, copy the </w:t>
      </w:r>
      <w:r>
        <w:rPr>
          <w:b/>
          <w:bCs/>
          <w:sz w:val="22"/>
          <w:szCs w:val="22"/>
        </w:rPr>
        <w:t xml:space="preserve">Directory (tenant) ID</w:t>
      </w:r>
      <w:r>
        <w:rPr>
          <w:sz w:val="22"/>
          <w:szCs w:val="22"/>
        </w:rPr>
        <w:t xml:space="preserve"> and the </w:t>
      </w:r>
      <w:r>
        <w:rPr>
          <w:b/>
          <w:bCs/>
          <w:sz w:val="22"/>
          <w:szCs w:val="22"/>
        </w:rPr>
        <w:t xml:space="preserve">Application (client) ID</w:t>
      </w:r>
      <w:r>
        <w:rPr>
          <w:sz w:val="22"/>
          <w:szCs w:val="22"/>
        </w:rPr>
        <w:t xml:space="preserve">. You will paste these in Section 5.</w:t>
      </w:r>
    </w:p>
    <w:p>
      <w:pPr>
        <w:pStyle w:val="Heading2"/>
        <w:spacing w:after="100" w:before="260"/>
      </w:pPr>
      <w:r>
        <w:rPr>
          <w:b/>
          <w:bCs/>
          <w:color w:val="E8622C"/>
          <w:sz w:val="26"/>
          <w:szCs w:val="26"/>
        </w:rPr>
        <w:t xml:space="preserve">4.2 Create a client secret</w:t>
      </w:r>
    </w:p>
    <w:p>
      <w:pPr>
        <w:pStyle w:val="ListParagraph"/>
        <w:numPr>
          <w:ilvl w:val="0"/>
          <w:numId w:val="2"/>
        </w:numPr>
        <w:spacing w:after="80" w:line="276"/>
      </w:pPr>
      <w:r>
        <w:rPr>
          <w:sz w:val="22"/>
          <w:szCs w:val="22"/>
        </w:rPr>
        <w:t xml:space="preserve">Open </w:t>
      </w:r>
      <w:r>
        <w:rPr>
          <w:b/>
          <w:bCs/>
          <w:sz w:val="22"/>
          <w:szCs w:val="22"/>
        </w:rPr>
        <w:t xml:space="preserve">Certificates &amp; secrets</w:t>
      </w:r>
      <w:r>
        <w:rPr>
          <w:sz w:val="22"/>
          <w:szCs w:val="22"/>
        </w:rPr>
        <w:t xml:space="preserve"> &gt; </w:t>
      </w:r>
      <w:r>
        <w:rPr>
          <w:b/>
          <w:bCs/>
          <w:sz w:val="22"/>
          <w:szCs w:val="22"/>
        </w:rPr>
        <w:t xml:space="preserve">Client secrets</w:t>
      </w:r>
      <w:r>
        <w:rPr>
          <w:sz w:val="22"/>
          <w:szCs w:val="22"/>
        </w:rPr>
        <w:t xml:space="preserve"> &gt; </w:t>
      </w:r>
      <w:r>
        <w:rPr>
          <w:b/>
          <w:bCs/>
          <w:sz w:val="22"/>
          <w:szCs w:val="22"/>
        </w:rPr>
        <w:t xml:space="preserve">New client secret</w:t>
      </w:r>
      <w:r>
        <w:rPr>
          <w:sz w:val="22"/>
          <w:szCs w:val="22"/>
        </w:rPr>
        <w:t xml:space="preserve">.</w:t>
      </w:r>
    </w:p>
    <w:p>
      <w:pPr>
        <w:pStyle w:val="ListParagraph"/>
        <w:numPr>
          <w:ilvl w:val="0"/>
          <w:numId w:val="2"/>
        </w:numPr>
        <w:spacing w:after="80" w:line="276"/>
      </w:pPr>
      <w:r>
        <w:rPr>
          <w:sz w:val="22"/>
          <w:szCs w:val="22"/>
        </w:rPr>
        <w:t xml:space="preserve">Give it a description and an expiry (for example 24 months), then click </w:t>
      </w:r>
      <w:r>
        <w:rPr>
          <w:b/>
          <w:bCs/>
          <w:sz w:val="22"/>
          <w:szCs w:val="22"/>
        </w:rPr>
        <w:t xml:space="preserve">Add</w:t>
      </w:r>
      <w:r>
        <w:rPr>
          <w:sz w:val="22"/>
          <w:szCs w:val="22"/>
        </w:rPr>
        <w:t xml:space="preserve">.</w:t>
      </w:r>
    </w:p>
    <w:p>
      <w:pPr>
        <w:pStyle w:val="ListParagraph"/>
        <w:numPr>
          <w:ilvl w:val="0"/>
          <w:numId w:val="2"/>
        </w:numPr>
        <w:spacing w:after="80" w:line="276"/>
      </w:pPr>
      <w:r>
        <w:rPr>
          <w:sz w:val="22"/>
          <w:szCs w:val="22"/>
        </w:rPr>
        <w:t xml:space="preserve">Immediately copy the secret </w:t>
      </w:r>
      <w:r>
        <w:rPr>
          <w:b/>
          <w:bCs/>
          <w:sz w:val="22"/>
          <w:szCs w:val="22"/>
        </w:rPr>
        <w:t xml:space="preserve">Value</w:t>
      </w:r>
      <w:r>
        <w:rPr>
          <w:sz w:val="22"/>
          <w:szCs w:val="22"/>
        </w:rPr>
        <w:t xml:space="preserve"> (not the Secret ID). It is shown only once. This is </w:t>
      </w:r>
      <w:r>
        <w:rPr>
          <w:rFonts w:ascii="Consolas" w:cs="Consolas" w:eastAsia="Consolas" w:hAnsi="Consolas"/>
          <w:color w:val="1E3A5F"/>
          <w:sz w:val="20"/>
          <w:szCs w:val="20"/>
        </w:rPr>
        <w:t xml:space="preserve">SHAREPOINT_CLIENT_SECRET</w:t>
      </w:r>
      <w:r>
        <w:rPr>
          <w:sz w:val="22"/>
          <w:szCs w:val="22"/>
        </w:rPr>
        <w:t xml:space="preserve">.</w:t>
      </w:r>
    </w:p>
    <w:p>
      <w:pPr>
        <w:pBdr>
          <w:left w:val="single" w:color="E8622C" w:sz="18" w:space="8"/>
        </w:pBdr>
        <w:shd w:fill="FDF1E7" w:color="auto" w:val="clear"/>
        <w:spacing w:after="120" w:before="80" w:line="276"/>
      </w:pPr>
      <w:r>
        <w:rPr>
          <w:b/>
          <w:bCs/>
          <w:color w:val="E8622C"/>
          <w:sz w:val="22"/>
          <w:szCs w:val="22"/>
        </w:rPr>
        <w:t xml:space="preserve">Note: </w:t>
      </w:r>
      <w:r>
        <w:rPr>
          <w:sz w:val="22"/>
          <w:szCs w:val="22"/>
        </w:rPr>
        <w:t xml:space="preserve">Set a calendar reminder before the secret expires. When it expires, live data stops and the app falls back to the bundled workbooks until a new secret is added.</w:t>
      </w:r>
    </w:p>
    <w:p>
      <w:pPr>
        <w:pStyle w:val="Heading2"/>
        <w:spacing w:after="100" w:before="260"/>
      </w:pPr>
      <w:r>
        <w:rPr>
          <w:b/>
          <w:bCs/>
          <w:color w:val="E8622C"/>
          <w:sz w:val="26"/>
          <w:szCs w:val="26"/>
        </w:rPr>
        <w:t xml:space="preserve">4.3 Grant read permission to SharePoint</w:t>
      </w:r>
    </w:p>
    <w:p>
      <w:pPr>
        <w:spacing w:after="120" w:line="288"/>
      </w:pPr>
      <w:r>
        <w:rPr>
          <w:sz w:val="22"/>
          <w:szCs w:val="22"/>
        </w:rPr>
        <w:t xml:space="preserve">Choose one of the two options below. Option A is simplest; Option B is the least-privilege choice preferred by many security teams.</w:t>
      </w:r>
    </w:p>
    <w:p>
      <w:pPr>
        <w:spacing w:after="120" w:line="288"/>
      </w:pPr>
      <w:r>
        <w:rPr>
          <w:b/>
          <w:bCs/>
          <w:sz w:val="22"/>
          <w:szCs w:val="22"/>
        </w:rPr>
        <w:t xml:space="preserve">Option A - read all sites (simplest):</w:t>
      </w:r>
    </w:p>
    <w:p>
      <w:pPr>
        <w:pStyle w:val="ListParagraph"/>
        <w:numPr>
          <w:ilvl w:val="0"/>
          <w:numId w:val="2"/>
        </w:numPr>
        <w:spacing w:after="80" w:line="276"/>
      </w:pPr>
      <w:r>
        <w:rPr>
          <w:sz w:val="22"/>
          <w:szCs w:val="22"/>
        </w:rPr>
        <w:t xml:space="preserve">Open </w:t>
      </w:r>
      <w:r>
        <w:rPr>
          <w:b/>
          <w:bCs/>
          <w:sz w:val="22"/>
          <w:szCs w:val="22"/>
        </w:rPr>
        <w:t xml:space="preserve">API permissions</w:t>
      </w:r>
      <w:r>
        <w:rPr>
          <w:sz w:val="22"/>
          <w:szCs w:val="22"/>
        </w:rPr>
        <w:t xml:space="preserve"> &gt; </w:t>
      </w:r>
      <w:r>
        <w:rPr>
          <w:b/>
          <w:bCs/>
          <w:sz w:val="22"/>
          <w:szCs w:val="22"/>
        </w:rPr>
        <w:t xml:space="preserve">Add a permission</w:t>
      </w:r>
      <w:r>
        <w:rPr>
          <w:sz w:val="22"/>
          <w:szCs w:val="22"/>
        </w:rPr>
        <w:t xml:space="preserve"> &gt; </w:t>
      </w:r>
      <w:r>
        <w:rPr>
          <w:b/>
          <w:bCs/>
          <w:sz w:val="22"/>
          <w:szCs w:val="22"/>
        </w:rPr>
        <w:t xml:space="preserve">Microsoft Graph</w:t>
      </w:r>
      <w:r>
        <w:rPr>
          <w:sz w:val="22"/>
          <w:szCs w:val="22"/>
        </w:rPr>
        <w:t xml:space="preserve"> &gt; </w:t>
      </w:r>
      <w:r>
        <w:rPr>
          <w:b/>
          <w:bCs/>
          <w:sz w:val="22"/>
          <w:szCs w:val="22"/>
        </w:rPr>
        <w:t xml:space="preserve">Application permissions</w:t>
      </w:r>
      <w:r>
        <w:rPr>
          <w:sz w:val="22"/>
          <w:szCs w:val="22"/>
        </w:rPr>
        <w:t xml:space="preserve">.</w:t>
      </w:r>
    </w:p>
    <w:p>
      <w:pPr>
        <w:pStyle w:val="ListParagraph"/>
        <w:numPr>
          <w:ilvl w:val="0"/>
          <w:numId w:val="2"/>
        </w:numPr>
        <w:spacing w:after="80" w:line="276"/>
      </w:pPr>
      <w:r>
        <w:rPr>
          <w:sz w:val="22"/>
          <w:szCs w:val="22"/>
        </w:rPr>
        <w:t xml:space="preserve">Add </w:t>
      </w:r>
      <w:r>
        <w:rPr>
          <w:b/>
          <w:bCs/>
          <w:sz w:val="22"/>
          <w:szCs w:val="22"/>
        </w:rPr>
        <w:t xml:space="preserve">Sites.Read.All</w:t>
      </w:r>
      <w:r>
        <w:rPr>
          <w:sz w:val="22"/>
          <w:szCs w:val="22"/>
        </w:rPr>
        <w:t xml:space="preserve">.</w:t>
      </w:r>
    </w:p>
    <w:p>
      <w:pPr>
        <w:pStyle w:val="ListParagraph"/>
        <w:numPr>
          <w:ilvl w:val="0"/>
          <w:numId w:val="2"/>
        </w:numPr>
        <w:spacing w:after="80" w:line="276"/>
      </w:pPr>
      <w:r>
        <w:rPr>
          <w:sz w:val="22"/>
          <w:szCs w:val="22"/>
        </w:rPr>
        <w:t xml:space="preserve">Click </w:t>
      </w:r>
      <w:r>
        <w:rPr>
          <w:b/>
          <w:bCs/>
          <w:sz w:val="22"/>
          <w:szCs w:val="22"/>
        </w:rPr>
        <w:t xml:space="preserve">Grant admin consent for &lt;your organization&gt;</w:t>
      </w:r>
      <w:r>
        <w:rPr>
          <w:sz w:val="22"/>
          <w:szCs w:val="22"/>
        </w:rPr>
        <w:t xml:space="preserve"> and confirm. The status must show a green check.</w:t>
      </w:r>
    </w:p>
    <w:p>
      <w:pPr>
        <w:spacing w:after="80"/>
      </w:pPr>
      <w:r>
        <w:t xml:space="preserve"/>
      </w:r>
    </w:p>
    <w:p>
      <w:pPr>
        <w:spacing w:after="120" w:line="288"/>
      </w:pPr>
      <w:r>
        <w:rPr>
          <w:b/>
          <w:bCs/>
          <w:sz w:val="22"/>
          <w:szCs w:val="22"/>
        </w:rPr>
        <w:t xml:space="preserve">Option B - restrict to just the HIAA KPI site (least privilege):</w:t>
      </w:r>
    </w:p>
    <w:p>
      <w:pPr>
        <w:pStyle w:val="ListParagraph"/>
        <w:numPr>
          <w:ilvl w:val="0"/>
          <w:numId w:val="2"/>
        </w:numPr>
        <w:spacing w:after="80" w:line="276"/>
      </w:pPr>
      <w:r>
        <w:rPr>
          <w:sz w:val="22"/>
          <w:szCs w:val="22"/>
        </w:rPr>
        <w:t xml:space="preserve">In API permissions add the Graph application permission </w:t>
      </w:r>
      <w:r>
        <w:rPr>
          <w:b/>
          <w:bCs/>
          <w:sz w:val="22"/>
          <w:szCs w:val="22"/>
        </w:rPr>
        <w:t xml:space="preserve">Sites.Selected</w:t>
      </w:r>
      <w:r>
        <w:rPr>
          <w:sz w:val="22"/>
          <w:szCs w:val="22"/>
        </w:rPr>
        <w:t xml:space="preserve">, then </w:t>
      </w:r>
      <w:r>
        <w:rPr>
          <w:b/>
          <w:bCs/>
          <w:sz w:val="22"/>
          <w:szCs w:val="22"/>
        </w:rPr>
        <w:t xml:space="preserve">Grant admin consent</w:t>
      </w:r>
      <w:r>
        <w:rPr>
          <w:sz w:val="22"/>
          <w:szCs w:val="22"/>
        </w:rPr>
        <w:t xml:space="preserve">.</w:t>
      </w:r>
    </w:p>
    <w:p>
      <w:pPr>
        <w:pStyle w:val="ListParagraph"/>
        <w:numPr>
          <w:ilvl w:val="0"/>
          <w:numId w:val="2"/>
        </w:numPr>
        <w:spacing w:after="80" w:line="276"/>
      </w:pPr>
      <w:r>
        <w:rPr>
          <w:sz w:val="22"/>
          <w:szCs w:val="22"/>
        </w:rPr>
        <w:t xml:space="preserve">Have a SharePoint administrator grant this specific app </w:t>
      </w:r>
      <w:r>
        <w:rPr>
          <w:b/>
          <w:bCs/>
          <w:sz w:val="22"/>
          <w:szCs w:val="22"/>
        </w:rPr>
        <w:t xml:space="preserve">read</w:t>
      </w:r>
      <w:r>
        <w:rPr>
          <w:sz w:val="22"/>
          <w:szCs w:val="22"/>
        </w:rPr>
        <w:t xml:space="preserve"> access to the HIAA KPI site (done via the Graph </w:t>
      </w:r>
      <w:r>
        <w:rPr>
          <w:rFonts w:ascii="Consolas" w:cs="Consolas" w:eastAsia="Consolas" w:hAnsi="Consolas"/>
          <w:color w:val="1E3A5F"/>
          <w:sz w:val="20"/>
          <w:szCs w:val="20"/>
        </w:rPr>
        <w:t xml:space="preserve">sites/{site-id}/permissions</w:t>
      </w:r>
      <w:r>
        <w:rPr>
          <w:sz w:val="22"/>
          <w:szCs w:val="22"/>
        </w:rPr>
        <w:t xml:space="preserve"> endpoint or the SharePoint admin PnP tooling). Provide them the Application (client) ID from step 4.1.</w:t>
      </w:r>
    </w:p>
    <w:p>
      <w:pPr>
        <w:pBdr>
          <w:left w:val="single" w:color="E8622C" w:sz="18" w:space="8"/>
        </w:pBdr>
        <w:shd w:fill="FDF1E7" w:color="auto" w:val="clear"/>
        <w:spacing w:after="120" w:before="80" w:line="276"/>
      </w:pPr>
      <w:r>
        <w:rPr>
          <w:b/>
          <w:bCs/>
          <w:color w:val="E8622C"/>
          <w:sz w:val="22"/>
          <w:szCs w:val="22"/>
        </w:rPr>
        <w:t xml:space="preserve">Note: </w:t>
      </w:r>
      <w:r>
        <w:rPr>
          <w:sz w:val="22"/>
          <w:szCs w:val="22"/>
        </w:rPr>
        <w:t xml:space="preserve">With Option B, if the app can authenticate but cannot see the files, it means the per-site grant in step 2 has not been completed. The dashboards will fall back to local data until it is.</w:t>
      </w:r>
    </w:p>
    <w:p>
      <w:pPr>
        <w:pStyle w:val="Heading1"/>
        <w:spacing w:after="140" w:before="360"/>
      </w:pPr>
      <w:r>
        <w:rPr>
          <w:b/>
          <w:bCs/>
          <w:color w:val="1E3A5F"/>
          <w:sz w:val="30"/>
          <w:szCs w:val="30"/>
        </w:rPr>
        <w:t xml:space="preserve">5. Step 3 - Add the connection settings to the app</w:t>
      </w:r>
    </w:p>
    <w:p>
      <w:pPr>
        <w:spacing w:after="120" w:line="288"/>
      </w:pPr>
      <w:r>
        <w:rPr>
          <w:sz w:val="22"/>
          <w:szCs w:val="22"/>
        </w:rPr>
        <w:t xml:space="preserve">The app is self-hosted on your own infrastructure (no Vercel or external cloud). Add the following settings to the server's environment - typically an `.env.production.local` file next to the app, or your service/container environment configuration - then restart the app.</w:t>
      </w:r>
    </w:p>
    <w:p>
      <w:pPr>
        <w:spacing w:after="80"/>
      </w:pPr>
      <w:r>
        <w:t xml:space="preserve"/>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26%"/>
            <w:shd w:fill="1E3A5F" w:color="auto" w:val="clear"/>
            <w:tcMar>
              <w:top w:type="dxa" w:w="60"/>
              <w:left w:type="dxa" w:w="100"/>
              <w:bottom w:type="dxa" w:w="60"/>
              <w:right w:type="dxa" w:w="100"/>
            </w:tcMar>
          </w:tcPr>
          <w:p>
            <w:r>
              <w:rPr>
                <w:b/>
                <w:bCs/>
                <w:color w:val="FFFFFF"/>
                <w:sz w:val="20"/>
                <w:szCs w:val="20"/>
              </w:rPr>
              <w:t xml:space="preserve">Variable</w:t>
            </w:r>
          </w:p>
        </w:tc>
        <w:tc>
          <w:tcPr>
            <w:tcW w:type="pct" w:w="12%"/>
            <w:shd w:fill="1E3A5F" w:color="auto" w:val="clear"/>
            <w:tcMar>
              <w:top w:type="dxa" w:w="60"/>
              <w:left w:type="dxa" w:w="100"/>
              <w:bottom w:type="dxa" w:w="60"/>
              <w:right w:type="dxa" w:w="100"/>
            </w:tcMar>
          </w:tcPr>
          <w:p>
            <w:r>
              <w:rPr>
                <w:b/>
                <w:bCs/>
                <w:color w:val="FFFFFF"/>
                <w:sz w:val="20"/>
                <w:szCs w:val="20"/>
              </w:rPr>
              <w:t xml:space="preserve">Required</w:t>
            </w:r>
          </w:p>
        </w:tc>
        <w:tc>
          <w:tcPr>
            <w:tcW w:type="pct" w:w="62%"/>
            <w:shd w:fill="1E3A5F" w:color="auto" w:val="clear"/>
            <w:tcMar>
              <w:top w:type="dxa" w:w="60"/>
              <w:left w:type="dxa" w:w="100"/>
              <w:bottom w:type="dxa" w:w="60"/>
              <w:right w:type="dxa" w:w="100"/>
            </w:tcMar>
          </w:tcPr>
          <w:p>
            <w:r>
              <w:rPr>
                <w:b/>
                <w:bCs/>
                <w:color w:val="FFFFFF"/>
                <w:sz w:val="20"/>
                <w:szCs w:val="20"/>
              </w:rPr>
              <w:t xml:space="preserve">What to enter / where it comes from</w:t>
            </w:r>
          </w:p>
        </w:tc>
      </w:tr>
      <w:tr>
        <w:tc>
          <w:tcPr>
            <w:tcW w:type="pct" w:w="26%"/>
            <w:shd w:fill="FFFFFF" w:color="auto" w:val="clear"/>
            <w:tcMar>
              <w:top w:type="dxa" w:w="60"/>
              <w:left w:type="dxa" w:w="100"/>
              <w:bottom w:type="dxa" w:w="60"/>
              <w:right w:type="dxa" w:w="100"/>
            </w:tcMar>
          </w:tcPr>
          <w:p>
            <w:r>
              <w:rPr>
                <w:sz w:val="20"/>
                <w:szCs w:val="20"/>
              </w:rPr>
            </w:r>
          </w:p>
        </w:tc>
        <w:tc>
          <w:tcPr>
            <w:tcW w:type="pct" w:w="12%"/>
            <w:shd w:fill="FFFFFF" w:color="auto" w:val="clear"/>
            <w:tcMar>
              <w:top w:type="dxa" w:w="60"/>
              <w:left w:type="dxa" w:w="100"/>
              <w:bottom w:type="dxa" w:w="60"/>
              <w:right w:type="dxa" w:w="100"/>
            </w:tcMar>
          </w:tcPr>
          <w:p>
            <w:r>
              <w:rPr>
                <w:sz w:val="20"/>
                <w:szCs w:val="20"/>
              </w:rPr>
            </w:r>
          </w:p>
        </w:tc>
        <w:tc>
          <w:tcPr>
            <w:tcW w:type="pct" w:w="62%"/>
            <w:shd w:fill="FFFFFF" w:color="auto" w:val="clear"/>
            <w:tcMar>
              <w:top w:type="dxa" w:w="60"/>
              <w:left w:type="dxa" w:w="100"/>
              <w:bottom w:type="dxa" w:w="60"/>
              <w:right w:type="dxa" w:w="100"/>
            </w:tcMar>
          </w:tcPr>
          <w:p>
            <w:r>
              <w:rPr>
                <w:sz w:val="20"/>
                <w:szCs w:val="20"/>
              </w:rPr>
            </w:r>
          </w:p>
        </w:tc>
      </w:tr>
      <w:tr>
        <w:tc>
          <w:tcPr>
            <w:tcW w:type="pct" w:w="26%"/>
            <w:shd w:fill="F3F4F6" w:color="auto" w:val="clear"/>
            <w:tcMar>
              <w:top w:type="dxa" w:w="60"/>
              <w:left w:type="dxa" w:w="100"/>
              <w:bottom w:type="dxa" w:w="60"/>
              <w:right w:type="dxa" w:w="100"/>
            </w:tcMar>
          </w:tcPr>
          <w:p>
            <w:r>
              <w:rPr>
                <w:sz w:val="20"/>
                <w:szCs w:val="20"/>
              </w:rPr>
            </w:r>
          </w:p>
        </w:tc>
        <w:tc>
          <w:tcPr>
            <w:tcW w:type="pct" w:w="12%"/>
            <w:shd w:fill="F3F4F6" w:color="auto" w:val="clear"/>
            <w:tcMar>
              <w:top w:type="dxa" w:w="60"/>
              <w:left w:type="dxa" w:w="100"/>
              <w:bottom w:type="dxa" w:w="60"/>
              <w:right w:type="dxa" w:w="100"/>
            </w:tcMar>
          </w:tcPr>
          <w:p>
            <w:r>
              <w:rPr>
                <w:sz w:val="20"/>
                <w:szCs w:val="20"/>
              </w:rPr>
            </w:r>
          </w:p>
        </w:tc>
        <w:tc>
          <w:tcPr>
            <w:tcW w:type="pct" w:w="62%"/>
            <w:shd w:fill="F3F4F6" w:color="auto" w:val="clear"/>
            <w:tcMar>
              <w:top w:type="dxa" w:w="60"/>
              <w:left w:type="dxa" w:w="100"/>
              <w:bottom w:type="dxa" w:w="60"/>
              <w:right w:type="dxa" w:w="100"/>
            </w:tcMar>
          </w:tcPr>
          <w:p>
            <w:r>
              <w:rPr>
                <w:sz w:val="20"/>
                <w:szCs w:val="20"/>
              </w:rPr>
            </w:r>
          </w:p>
        </w:tc>
      </w:tr>
      <w:tr>
        <w:tc>
          <w:tcPr>
            <w:tcW w:type="pct" w:w="26%"/>
            <w:shd w:fill="FFFFFF" w:color="auto" w:val="clear"/>
            <w:tcMar>
              <w:top w:type="dxa" w:w="60"/>
              <w:left w:type="dxa" w:w="100"/>
              <w:bottom w:type="dxa" w:w="60"/>
              <w:right w:type="dxa" w:w="100"/>
            </w:tcMar>
          </w:tcPr>
          <w:p>
            <w:r>
              <w:rPr>
                <w:sz w:val="20"/>
                <w:szCs w:val="20"/>
              </w:rPr>
            </w:r>
          </w:p>
        </w:tc>
        <w:tc>
          <w:tcPr>
            <w:tcW w:type="pct" w:w="12%"/>
            <w:shd w:fill="FFFFFF" w:color="auto" w:val="clear"/>
            <w:tcMar>
              <w:top w:type="dxa" w:w="60"/>
              <w:left w:type="dxa" w:w="100"/>
              <w:bottom w:type="dxa" w:w="60"/>
              <w:right w:type="dxa" w:w="100"/>
            </w:tcMar>
          </w:tcPr>
          <w:p>
            <w:r>
              <w:rPr>
                <w:sz w:val="20"/>
                <w:szCs w:val="20"/>
              </w:rPr>
            </w:r>
          </w:p>
        </w:tc>
        <w:tc>
          <w:tcPr>
            <w:tcW w:type="pct" w:w="62%"/>
            <w:shd w:fill="FFFFFF" w:color="auto" w:val="clear"/>
            <w:tcMar>
              <w:top w:type="dxa" w:w="60"/>
              <w:left w:type="dxa" w:w="100"/>
              <w:bottom w:type="dxa" w:w="60"/>
              <w:right w:type="dxa" w:w="100"/>
            </w:tcMar>
          </w:tcPr>
          <w:p>
            <w:r>
              <w:rPr>
                <w:sz w:val="20"/>
                <w:szCs w:val="20"/>
              </w:rPr>
            </w:r>
          </w:p>
        </w:tc>
      </w:tr>
      <w:tr>
        <w:tc>
          <w:tcPr>
            <w:tcW w:type="pct" w:w="26%"/>
            <w:shd w:fill="F3F4F6" w:color="auto" w:val="clear"/>
            <w:tcMar>
              <w:top w:type="dxa" w:w="60"/>
              <w:left w:type="dxa" w:w="100"/>
              <w:bottom w:type="dxa" w:w="60"/>
              <w:right w:type="dxa" w:w="100"/>
            </w:tcMar>
          </w:tcPr>
          <w:p>
            <w:r>
              <w:rPr>
                <w:sz w:val="20"/>
                <w:szCs w:val="20"/>
              </w:rPr>
            </w:r>
          </w:p>
        </w:tc>
        <w:tc>
          <w:tcPr>
            <w:tcW w:type="pct" w:w="12%"/>
            <w:shd w:fill="F3F4F6" w:color="auto" w:val="clear"/>
            <w:tcMar>
              <w:top w:type="dxa" w:w="60"/>
              <w:left w:type="dxa" w:w="100"/>
              <w:bottom w:type="dxa" w:w="60"/>
              <w:right w:type="dxa" w:w="100"/>
            </w:tcMar>
          </w:tcPr>
          <w:p>
            <w:r>
              <w:rPr>
                <w:sz w:val="20"/>
                <w:szCs w:val="20"/>
              </w:rPr>
            </w:r>
          </w:p>
        </w:tc>
        <w:tc>
          <w:tcPr>
            <w:tcW w:type="pct" w:w="62%"/>
            <w:shd w:fill="F3F4F6" w:color="auto" w:val="clear"/>
            <w:tcMar>
              <w:top w:type="dxa" w:w="60"/>
              <w:left w:type="dxa" w:w="100"/>
              <w:bottom w:type="dxa" w:w="60"/>
              <w:right w:type="dxa" w:w="100"/>
            </w:tcMar>
          </w:tcPr>
          <w:p>
            <w:r>
              <w:rPr>
                <w:sz w:val="20"/>
                <w:szCs w:val="20"/>
              </w:rPr>
            </w:r>
          </w:p>
        </w:tc>
      </w:tr>
      <w:tr>
        <w:tc>
          <w:tcPr>
            <w:tcW w:type="pct" w:w="26%"/>
            <w:shd w:fill="FFFFFF" w:color="auto" w:val="clear"/>
            <w:tcMar>
              <w:top w:type="dxa" w:w="60"/>
              <w:left w:type="dxa" w:w="100"/>
              <w:bottom w:type="dxa" w:w="60"/>
              <w:right w:type="dxa" w:w="100"/>
            </w:tcMar>
          </w:tcPr>
          <w:p>
            <w:r>
              <w:rPr>
                <w:sz w:val="20"/>
                <w:szCs w:val="20"/>
              </w:rPr>
            </w:r>
          </w:p>
        </w:tc>
        <w:tc>
          <w:tcPr>
            <w:tcW w:type="pct" w:w="12%"/>
            <w:shd w:fill="FFFFFF" w:color="auto" w:val="clear"/>
            <w:tcMar>
              <w:top w:type="dxa" w:w="60"/>
              <w:left w:type="dxa" w:w="100"/>
              <w:bottom w:type="dxa" w:w="60"/>
              <w:right w:type="dxa" w:w="100"/>
            </w:tcMar>
          </w:tcPr>
          <w:p>
            <w:r>
              <w:rPr>
                <w:sz w:val="20"/>
                <w:szCs w:val="20"/>
              </w:rPr>
            </w:r>
          </w:p>
        </w:tc>
        <w:tc>
          <w:tcPr>
            <w:tcW w:type="pct" w:w="62%"/>
            <w:shd w:fill="FFFFFF" w:color="auto" w:val="clear"/>
            <w:tcMar>
              <w:top w:type="dxa" w:w="60"/>
              <w:left w:type="dxa" w:w="100"/>
              <w:bottom w:type="dxa" w:w="60"/>
              <w:right w:type="dxa" w:w="100"/>
            </w:tcMar>
          </w:tcPr>
          <w:p>
            <w:r>
              <w:rPr>
                <w:sz w:val="20"/>
                <w:szCs w:val="20"/>
              </w:rPr>
            </w:r>
          </w:p>
        </w:tc>
      </w:tr>
      <w:tr>
        <w:tc>
          <w:tcPr>
            <w:tcW w:type="pct" w:w="26%"/>
            <w:shd w:fill="F3F4F6" w:color="auto" w:val="clear"/>
            <w:tcMar>
              <w:top w:type="dxa" w:w="60"/>
              <w:left w:type="dxa" w:w="100"/>
              <w:bottom w:type="dxa" w:w="60"/>
              <w:right w:type="dxa" w:w="100"/>
            </w:tcMar>
          </w:tcPr>
          <w:p>
            <w:r>
              <w:rPr>
                <w:sz w:val="20"/>
                <w:szCs w:val="20"/>
              </w:rPr>
            </w:r>
          </w:p>
        </w:tc>
        <w:tc>
          <w:tcPr>
            <w:tcW w:type="pct" w:w="12%"/>
            <w:shd w:fill="F3F4F6" w:color="auto" w:val="clear"/>
            <w:tcMar>
              <w:top w:type="dxa" w:w="60"/>
              <w:left w:type="dxa" w:w="100"/>
              <w:bottom w:type="dxa" w:w="60"/>
              <w:right w:type="dxa" w:w="100"/>
            </w:tcMar>
          </w:tcPr>
          <w:p>
            <w:r>
              <w:rPr>
                <w:sz w:val="20"/>
                <w:szCs w:val="20"/>
              </w:rPr>
            </w:r>
          </w:p>
        </w:tc>
        <w:tc>
          <w:tcPr>
            <w:tcW w:type="pct" w:w="62%"/>
            <w:shd w:fill="F3F4F6" w:color="auto" w:val="clear"/>
            <w:tcMar>
              <w:top w:type="dxa" w:w="60"/>
              <w:left w:type="dxa" w:w="100"/>
              <w:bottom w:type="dxa" w:w="60"/>
              <w:right w:type="dxa" w:w="100"/>
            </w:tcMar>
          </w:tcPr>
          <w:p>
            <w:r>
              <w:rPr>
                <w:sz w:val="20"/>
                <w:szCs w:val="20"/>
              </w:rPr>
            </w:r>
          </w:p>
        </w:tc>
      </w:tr>
      <w:tr>
        <w:tc>
          <w:tcPr>
            <w:tcW w:type="pct" w:w="26%"/>
            <w:shd w:fill="FFFFFF" w:color="auto" w:val="clear"/>
            <w:tcMar>
              <w:top w:type="dxa" w:w="60"/>
              <w:left w:type="dxa" w:w="100"/>
              <w:bottom w:type="dxa" w:w="60"/>
              <w:right w:type="dxa" w:w="100"/>
            </w:tcMar>
          </w:tcPr>
          <w:p>
            <w:r>
              <w:rPr>
                <w:sz w:val="20"/>
                <w:szCs w:val="20"/>
              </w:rPr>
            </w:r>
          </w:p>
        </w:tc>
        <w:tc>
          <w:tcPr>
            <w:tcW w:type="pct" w:w="12%"/>
            <w:shd w:fill="FFFFFF" w:color="auto" w:val="clear"/>
            <w:tcMar>
              <w:top w:type="dxa" w:w="60"/>
              <w:left w:type="dxa" w:w="100"/>
              <w:bottom w:type="dxa" w:w="60"/>
              <w:right w:type="dxa" w:w="100"/>
            </w:tcMar>
          </w:tcPr>
          <w:p>
            <w:r>
              <w:rPr>
                <w:sz w:val="20"/>
                <w:szCs w:val="20"/>
              </w:rPr>
            </w:r>
          </w:p>
        </w:tc>
        <w:tc>
          <w:tcPr>
            <w:tcW w:type="pct" w:w="62%"/>
            <w:shd w:fill="FFFFFF" w:color="auto" w:val="clear"/>
            <w:tcMar>
              <w:top w:type="dxa" w:w="60"/>
              <w:left w:type="dxa" w:w="100"/>
              <w:bottom w:type="dxa" w:w="60"/>
              <w:right w:type="dxa" w:w="100"/>
            </w:tcMar>
          </w:tcPr>
          <w:p>
            <w:r>
              <w:rPr>
                <w:sz w:val="20"/>
                <w:szCs w:val="20"/>
              </w:rPr>
            </w:r>
          </w:p>
        </w:tc>
      </w:tr>
      <w:tr>
        <w:tc>
          <w:tcPr>
            <w:tcW w:type="pct" w:w="26%"/>
            <w:shd w:fill="F3F4F6" w:color="auto" w:val="clear"/>
            <w:tcMar>
              <w:top w:type="dxa" w:w="60"/>
              <w:left w:type="dxa" w:w="100"/>
              <w:bottom w:type="dxa" w:w="60"/>
              <w:right w:type="dxa" w:w="100"/>
            </w:tcMar>
          </w:tcPr>
          <w:p>
            <w:r>
              <w:rPr>
                <w:sz w:val="20"/>
                <w:szCs w:val="20"/>
              </w:rPr>
            </w:r>
          </w:p>
        </w:tc>
        <w:tc>
          <w:tcPr>
            <w:tcW w:type="pct" w:w="12%"/>
            <w:shd w:fill="F3F4F6" w:color="auto" w:val="clear"/>
            <w:tcMar>
              <w:top w:type="dxa" w:w="60"/>
              <w:left w:type="dxa" w:w="100"/>
              <w:bottom w:type="dxa" w:w="60"/>
              <w:right w:type="dxa" w:w="100"/>
            </w:tcMar>
          </w:tcPr>
          <w:p>
            <w:r>
              <w:rPr>
                <w:sz w:val="20"/>
                <w:szCs w:val="20"/>
              </w:rPr>
            </w:r>
          </w:p>
        </w:tc>
        <w:tc>
          <w:tcPr>
            <w:tcW w:type="pct" w:w="62%"/>
            <w:shd w:fill="F3F4F6" w:color="auto" w:val="clear"/>
            <w:tcMar>
              <w:top w:type="dxa" w:w="60"/>
              <w:left w:type="dxa" w:w="100"/>
              <w:bottom w:type="dxa" w:w="60"/>
              <w:right w:type="dxa" w:w="100"/>
            </w:tcMar>
          </w:tcPr>
          <w:p>
            <w:r>
              <w:rPr>
                <w:sz w:val="20"/>
                <w:szCs w:val="20"/>
              </w:rPr>
            </w:r>
          </w:p>
        </w:tc>
      </w:tr>
    </w:tbl>
    <w:p>
      <w:pPr>
        <w:spacing w:after="80"/>
      </w:pPr>
      <w:r>
        <w:t xml:space="preserve"/>
      </w:r>
    </w:p>
    <w:p>
      <w:pPr>
        <w:pStyle w:val="ListParagraph"/>
        <w:numPr>
          <w:ilvl w:val="0"/>
          <w:numId w:val="2"/>
        </w:numPr>
        <w:spacing w:after="80" w:line="276"/>
      </w:pPr>
      <w:r>
        <w:rPr>
          <w:sz w:val="22"/>
          <w:szCs w:val="22"/>
        </w:rPr>
        <w:t xml:space="preserve">Paste each value carefully - no leading/trailing spaces, and do not wrap values in quotes.</w:t>
      </w:r>
    </w:p>
    <w:p>
      <w:pPr>
        <w:pStyle w:val="ListParagraph"/>
        <w:numPr>
          <w:ilvl w:val="0"/>
          <w:numId w:val="2"/>
        </w:numPr>
        <w:spacing w:after="80" w:line="276"/>
      </w:pPr>
      <w:r>
        <w:rPr>
          <w:sz w:val="22"/>
          <w:szCs w:val="22"/>
        </w:rPr>
        <w:t xml:space="preserve">Save the settings, then </w:t>
      </w:r>
      <w:r>
        <w:rPr>
          <w:b/>
          <w:bCs/>
          <w:sz w:val="22"/>
          <w:szCs w:val="22"/>
        </w:rPr>
        <w:t xml:space="preserve">rebuild and restart</w:t>
      </w:r>
      <w:r>
        <w:rPr>
          <w:sz w:val="22"/>
          <w:szCs w:val="22"/>
        </w:rPr>
        <w:t xml:space="preserve"> the application (</w:t>
      </w:r>
      <w:r>
        <w:rPr>
          <w:rFonts w:ascii="Consolas" w:cs="Consolas" w:eastAsia="Consolas" w:hAnsi="Consolas"/>
          <w:color w:val="1E3A5F"/>
          <w:sz w:val="20"/>
          <w:szCs w:val="20"/>
        </w:rPr>
        <w:t xml:space="preserve">pnpm build</w:t>
      </w:r>
      <w:r>
        <w:rPr>
          <w:sz w:val="22"/>
          <w:szCs w:val="22"/>
        </w:rPr>
        <w:t xml:space="preserve"> then </w:t>
      </w:r>
      <w:r>
        <w:rPr>
          <w:rFonts w:ascii="Consolas" w:cs="Consolas" w:eastAsia="Consolas" w:hAnsi="Consolas"/>
          <w:color w:val="1E3A5F"/>
          <w:sz w:val="20"/>
          <w:szCs w:val="20"/>
        </w:rPr>
        <w:t xml:space="preserve">pnpm start</w:t>
      </w:r>
      <w:r>
        <w:rPr>
          <w:sz w:val="22"/>
          <w:szCs w:val="22"/>
        </w:rPr>
        <w:t xml:space="preserve">, or restart the service/container) so the new settings take effect.</w:t>
      </w:r>
    </w:p>
    <w:p>
      <w:pPr>
        <w:pStyle w:val="Heading1"/>
        <w:spacing w:after="140" w:before="360"/>
      </w:pPr>
      <w:r>
        <w:rPr>
          <w:b/>
          <w:bCs/>
          <w:color w:val="1E3A5F"/>
          <w:sz w:val="30"/>
          <w:szCs w:val="30"/>
        </w:rPr>
        <w:t xml:space="preserve">6. Step 4 - Verify the live connection</w:t>
      </w:r>
    </w:p>
    <w:p>
      <w:pPr>
        <w:pStyle w:val="ListParagraph"/>
        <w:numPr>
          <w:ilvl w:val="0"/>
          <w:numId w:val="2"/>
        </w:numPr>
        <w:spacing w:after="80" w:line="276"/>
      </w:pPr>
      <w:r>
        <w:rPr>
          <w:sz w:val="22"/>
          <w:szCs w:val="22"/>
        </w:rPr>
        <w:t xml:space="preserve">Open any dashboard, for example </w:t>
      </w:r>
      <w:r>
        <w:rPr>
          <w:b/>
          <w:bCs/>
          <w:sz w:val="22"/>
          <w:szCs w:val="22"/>
        </w:rPr>
        <w:t xml:space="preserve">/kpi/kpi-01</w:t>
      </w:r>
      <w:r>
        <w:rPr>
          <w:sz w:val="22"/>
          <w:szCs w:val="22"/>
        </w:rPr>
        <w:t xml:space="preserve">, and confirm it loads without error.</w:t>
      </w:r>
    </w:p>
    <w:p>
      <w:pPr>
        <w:pStyle w:val="ListParagraph"/>
        <w:numPr>
          <w:ilvl w:val="0"/>
          <w:numId w:val="2"/>
        </w:numPr>
        <w:spacing w:after="80" w:line="276"/>
      </w:pPr>
      <w:r>
        <w:rPr>
          <w:sz w:val="22"/>
          <w:szCs w:val="22"/>
        </w:rPr>
        <w:t xml:space="preserve">In SharePoint, make a small visible change to that KPI's workbook (for example change a value), and save.</w:t>
      </w:r>
    </w:p>
    <w:p>
      <w:pPr>
        <w:pStyle w:val="ListParagraph"/>
        <w:numPr>
          <w:ilvl w:val="0"/>
          <w:numId w:val="2"/>
        </w:numPr>
        <w:spacing w:after="80" w:line="276"/>
      </w:pPr>
      <w:r>
        <w:rPr>
          <w:sz w:val="22"/>
          <w:szCs w:val="22"/>
        </w:rPr>
        <w:t xml:space="preserve">Wait up to 5 minutes (the standard refresh window) and reload the dashboard - the change should appear. For an immediate check, use the instant-refresh webhook below.</w:t>
      </w:r>
    </w:p>
    <w:p>
      <w:pPr>
        <w:pStyle w:val="ListParagraph"/>
        <w:numPr>
          <w:ilvl w:val="0"/>
          <w:numId w:val="2"/>
        </w:numPr>
        <w:spacing w:after="80" w:line="276"/>
      </w:pPr>
      <w:r>
        <w:rPr>
          <w:sz w:val="22"/>
          <w:szCs w:val="22"/>
        </w:rPr>
        <w:t xml:space="preserve">Optionally open the live download link </w:t>
      </w:r>
      <w:r>
        <w:rPr>
          <w:b/>
          <w:bCs/>
          <w:sz w:val="22"/>
          <w:szCs w:val="22"/>
        </w:rPr>
        <w:t xml:space="preserve">/api/kpi/kpi-01/xlsx</w:t>
      </w:r>
      <w:r>
        <w:rPr>
          <w:sz w:val="22"/>
          <w:szCs w:val="22"/>
        </w:rPr>
        <w:t xml:space="preserve"> - it should download the current SharePoint file. This link is never cached, so it always matches SharePoint exactly.</w:t>
      </w:r>
    </w:p>
    <w:p>
      <w:pPr>
        <w:pBdr>
          <w:left w:val="single" w:color="E8622C" w:sz="18" w:space="8"/>
        </w:pBdr>
        <w:shd w:fill="FDF1E7" w:color="auto" w:val="clear"/>
        <w:spacing w:after="120" w:before="80" w:line="276"/>
      </w:pPr>
      <w:r>
        <w:rPr>
          <w:b/>
          <w:bCs/>
          <w:color w:val="E8622C"/>
          <w:sz w:val="22"/>
          <w:szCs w:val="22"/>
        </w:rPr>
        <w:t xml:space="preserve">Note: </w:t>
      </w:r>
      <w:r>
        <w:rPr>
          <w:sz w:val="22"/>
          <w:szCs w:val="22"/>
        </w:rPr>
        <w:t xml:space="preserve">How refresh works: dashboards are cached and rebuilt at most every 5 minutes (incremental static regeneration). That keeps the site fast while staying current. The webhook in the next section is optional and only needed when you want changes to appear within seconds.</w:t>
      </w:r>
    </w:p>
    <w:p>
      <w:pPr>
        <w:pStyle w:val="Heading1"/>
        <w:spacing w:after="140" w:before="360"/>
      </w:pPr>
      <w:r>
        <w:rPr>
          <w:b/>
          <w:bCs/>
          <w:color w:val="1E3A5F"/>
          <w:sz w:val="30"/>
          <w:szCs w:val="30"/>
        </w:rPr>
        <w:t xml:space="preserve">7. Optional - Instant refresh with Power Automate</w:t>
      </w:r>
    </w:p>
    <w:p>
      <w:pPr>
        <w:spacing w:after="120" w:line="288"/>
      </w:pPr>
      <w:r>
        <w:rPr>
          <w:sz w:val="22"/>
          <w:szCs w:val="22"/>
        </w:rPr>
        <w:t xml:space="preserve">If you want a dashboard to update within seconds of someone saving the spreadsheet (instead of waiting for the 5-minute window), set up a Power Automate flow that calls the app's refresh webhook whenever a file changes.</w:t>
      </w:r>
    </w:p>
    <w:p>
      <w:pPr>
        <w:pStyle w:val="ListParagraph"/>
        <w:numPr>
          <w:ilvl w:val="0"/>
          <w:numId w:val="2"/>
        </w:numPr>
        <w:spacing w:after="80" w:line="276"/>
      </w:pPr>
      <w:r>
        <w:rPr>
          <w:sz w:val="22"/>
          <w:szCs w:val="22"/>
        </w:rPr>
        <w:t xml:space="preserve">Set the </w:t>
      </w:r>
      <w:r>
        <w:rPr>
          <w:rFonts w:ascii="Consolas" w:cs="Consolas" w:eastAsia="Consolas" w:hAnsi="Consolas"/>
          <w:color w:val="1E3A5F"/>
          <w:sz w:val="20"/>
          <w:szCs w:val="20"/>
        </w:rPr>
        <w:t xml:space="preserve">REVALIDATE_SECRET</w:t>
      </w:r>
      <w:r>
        <w:rPr>
          <w:sz w:val="22"/>
          <w:szCs w:val="22"/>
        </w:rPr>
        <w:t xml:space="preserve"> environment variable (Section 5) to a long random string and restart the app.</w:t>
      </w:r>
    </w:p>
    <w:p>
      <w:pPr>
        <w:pStyle w:val="ListParagraph"/>
        <w:numPr>
          <w:ilvl w:val="0"/>
          <w:numId w:val="2"/>
        </w:numPr>
        <w:spacing w:after="80" w:line="276"/>
      </w:pPr>
      <w:r>
        <w:rPr>
          <w:sz w:val="22"/>
          <w:szCs w:val="22"/>
        </w:rPr>
        <w:t xml:space="preserve">Confirm the app is reachable from Power Automate. If it is hosted on the internal network only, use an on-premises data gateway or an internally-resolvable URL. You can verify reachability with a browser GET to </w:t>
      </w:r>
      <w:r>
        <w:rPr>
          <w:rFonts w:ascii="Consolas" w:cs="Consolas" w:eastAsia="Consolas" w:hAnsi="Consolas"/>
          <w:color w:val="1E3A5F"/>
          <w:sz w:val="20"/>
          <w:szCs w:val="20"/>
        </w:rPr>
        <w:t xml:space="preserve">https://&lt;your-internal-app-host&gt;/api/revalidate</w:t>
      </w:r>
      <w:r>
        <w:rPr>
          <w:sz w:val="22"/>
          <w:szCs w:val="22"/>
        </w:rPr>
        <w:t xml:space="preserve">, which returns a small health-check JSON (it does not trigger a refresh).</w:t>
      </w:r>
    </w:p>
    <w:p>
      <w:pPr>
        <w:pStyle w:val="ListParagraph"/>
        <w:numPr>
          <w:ilvl w:val="0"/>
          <w:numId w:val="2"/>
        </w:numPr>
        <w:spacing w:after="80" w:line="276"/>
      </w:pPr>
      <w:r>
        <w:rPr>
          <w:sz w:val="22"/>
          <w:szCs w:val="22"/>
        </w:rPr>
        <w:t xml:space="preserve">In </w:t>
      </w:r>
      <w:r>
        <w:rPr>
          <w:b/>
          <w:bCs/>
          <w:sz w:val="22"/>
          <w:szCs w:val="22"/>
        </w:rPr>
        <w:t xml:space="preserve">Power Automate</w:t>
      </w:r>
      <w:r>
        <w:rPr>
          <w:sz w:val="22"/>
          <w:szCs w:val="22"/>
        </w:rPr>
        <w:t xml:space="preserve">, create an automated cloud flow using the SharePoint trigger </w:t>
      </w:r>
      <w:r>
        <w:rPr>
          <w:b/>
          <w:bCs/>
          <w:sz w:val="22"/>
          <w:szCs w:val="22"/>
        </w:rPr>
        <w:t xml:space="preserve">When a file is created or modified (properties only)</w:t>
      </w:r>
      <w:r>
        <w:rPr>
          <w:sz w:val="22"/>
          <w:szCs w:val="22"/>
        </w:rPr>
        <w:t xml:space="preserve">, pointed at the HIAA KPI Documents library.</w:t>
      </w:r>
    </w:p>
    <w:p>
      <w:pPr>
        <w:pStyle w:val="ListParagraph"/>
        <w:numPr>
          <w:ilvl w:val="0"/>
          <w:numId w:val="2"/>
        </w:numPr>
        <w:spacing w:after="80" w:line="276"/>
      </w:pPr>
      <w:r>
        <w:rPr>
          <w:sz w:val="22"/>
          <w:szCs w:val="22"/>
        </w:rPr>
        <w:t xml:space="preserve">Add an </w:t>
      </w:r>
      <w:r>
        <w:rPr>
          <w:b/>
          <w:bCs/>
          <w:sz w:val="22"/>
          <w:szCs w:val="22"/>
        </w:rPr>
        <w:t xml:space="preserve">HTTP</w:t>
      </w:r>
      <w:r>
        <w:rPr>
          <w:sz w:val="22"/>
          <w:szCs w:val="22"/>
        </w:rPr>
        <w:t xml:space="preserve"> action with these settings:</w:t>
      </w:r>
    </w:p>
    <w:p>
      <w:pPr>
        <w:pStyle w:val="ListParagraph"/>
        <w:numPr>
          <w:ilvl w:val="1"/>
          <w:numId w:val="1"/>
        </w:numPr>
        <w:spacing w:after="60" w:line="276"/>
      </w:pPr>
      <w:r>
        <w:rPr>
          <w:b/>
          <w:bCs/>
          <w:sz w:val="22"/>
          <w:szCs w:val="22"/>
        </w:rPr>
        <w:t xml:space="preserve">Method:</w:t>
      </w:r>
      <w:r>
        <w:rPr>
          <w:sz w:val="22"/>
          <w:szCs w:val="22"/>
        </w:rPr>
        <w:t xml:space="preserve"> POST</w:t>
      </w:r>
    </w:p>
    <w:p>
      <w:pPr>
        <w:pStyle w:val="ListParagraph"/>
        <w:numPr>
          <w:ilvl w:val="1"/>
          <w:numId w:val="1"/>
        </w:numPr>
        <w:spacing w:after="60" w:line="276"/>
      </w:pPr>
      <w:r>
        <w:rPr>
          <w:b/>
          <w:bCs/>
          <w:sz w:val="22"/>
          <w:szCs w:val="22"/>
        </w:rPr>
        <w:t xml:space="preserve">URI:</w:t>
      </w:r>
      <w:r>
        <w:rPr>
          <w:sz w:val="22"/>
          <w:szCs w:val="22"/>
        </w:rPr>
        <w:t xml:space="preserve"> https://&lt;your-internal-app-host&gt;/api/revalidate</w:t>
      </w:r>
    </w:p>
    <w:p>
      <w:pPr>
        <w:pStyle w:val="ListParagraph"/>
        <w:numPr>
          <w:ilvl w:val="1"/>
          <w:numId w:val="1"/>
        </w:numPr>
        <w:spacing w:after="60" w:line="276"/>
      </w:pPr>
      <w:r>
        <w:rPr>
          <w:b/>
          <w:bCs/>
          <w:sz w:val="22"/>
          <w:szCs w:val="22"/>
        </w:rPr>
        <w:t xml:space="preserve">Headers:</w:t>
      </w:r>
      <w:r>
        <w:rPr>
          <w:sz w:val="22"/>
          <w:szCs w:val="22"/>
        </w:rPr>
        <w:t xml:space="preserve"> </w:t>
      </w:r>
      <w:r>
        <w:rPr>
          <w:rFonts w:ascii="Consolas" w:cs="Consolas" w:eastAsia="Consolas" w:hAnsi="Consolas"/>
          <w:color w:val="1E3A5F"/>
          <w:sz w:val="20"/>
          <w:szCs w:val="20"/>
        </w:rPr>
        <w:t xml:space="preserve">x-revalidate-secret</w:t>
      </w:r>
      <w:r>
        <w:rPr>
          <w:sz w:val="22"/>
          <w:szCs w:val="22"/>
        </w:rPr>
        <w:t xml:space="preserve"> = the REVALIDATE_SECRET value; and </w:t>
      </w:r>
      <w:r>
        <w:rPr>
          <w:rFonts w:ascii="Consolas" w:cs="Consolas" w:eastAsia="Consolas" w:hAnsi="Consolas"/>
          <w:color w:val="1E3A5F"/>
          <w:sz w:val="20"/>
          <w:szCs w:val="20"/>
        </w:rPr>
        <w:t xml:space="preserve">Content-Type</w:t>
      </w:r>
      <w:r>
        <w:rPr>
          <w:sz w:val="22"/>
          <w:szCs w:val="22"/>
        </w:rPr>
        <w:t xml:space="preserve"> = </w:t>
      </w:r>
      <w:r>
        <w:rPr>
          <w:rFonts w:ascii="Consolas" w:cs="Consolas" w:eastAsia="Consolas" w:hAnsi="Consolas"/>
          <w:color w:val="1E3A5F"/>
          <w:sz w:val="20"/>
          <w:szCs w:val="20"/>
        </w:rPr>
        <w:t xml:space="preserve">application/json</w:t>
      </w:r>
    </w:p>
    <w:p>
      <w:pPr>
        <w:pStyle w:val="ListParagraph"/>
        <w:numPr>
          <w:ilvl w:val="1"/>
          <w:numId w:val="1"/>
        </w:numPr>
        <w:spacing w:after="60" w:line="276"/>
      </w:pPr>
      <w:r>
        <w:rPr>
          <w:b/>
          <w:bCs/>
          <w:sz w:val="22"/>
          <w:szCs w:val="22"/>
        </w:rPr>
        <w:t xml:space="preserve">Body (easiest):</w:t>
      </w:r>
      <w:r>
        <w:rPr>
          <w:sz w:val="22"/>
          <w:szCs w:val="22"/>
        </w:rPr>
        <w:t xml:space="preserve"> </w:t>
      </w:r>
      <w:r>
        <w:rPr>
          <w:rFonts w:ascii="Consolas" w:cs="Consolas" w:eastAsia="Consolas" w:hAnsi="Consolas"/>
          <w:color w:val="1E3A5F"/>
          <w:sz w:val="20"/>
          <w:szCs w:val="20"/>
        </w:rPr>
        <w:t xml:space="preserve">{ "fileName": "@{triggerOutputs()?['body/{FilenameWithExtension}']}" }</w:t>
      </w:r>
      <w:r>
        <w:rPr>
          <w:sz w:val="22"/>
          <w:szCs w:val="22"/>
        </w:rPr>
        <w:t xml:space="preserve"> - the app derives the KPI id from the file name automatically (e.g. kpi-07.xlsx becomes kpi-07).</w:t>
      </w:r>
    </w:p>
    <w:p>
      <w:pPr>
        <w:pStyle w:val="ListParagraph"/>
        <w:numPr>
          <w:ilvl w:val="1"/>
          <w:numId w:val="1"/>
        </w:numPr>
        <w:spacing w:after="60" w:line="276"/>
      </w:pPr>
      <w:r>
        <w:rPr>
          <w:b/>
          <w:bCs/>
          <w:sz w:val="22"/>
          <w:szCs w:val="22"/>
        </w:rPr>
        <w:t xml:space="preserve">Body (explicit):</w:t>
      </w:r>
      <w:r>
        <w:rPr>
          <w:sz w:val="22"/>
          <w:szCs w:val="22"/>
        </w:rPr>
        <w:t xml:space="preserve"> </w:t>
      </w:r>
      <w:r>
        <w:rPr>
          <w:rFonts w:ascii="Consolas" w:cs="Consolas" w:eastAsia="Consolas" w:hAnsi="Consolas"/>
          <w:color w:val="1E3A5F"/>
          <w:sz w:val="20"/>
          <w:szCs w:val="20"/>
        </w:rPr>
        <w:t xml:space="preserve">{ "kpiId": "kpi-01" }</w:t>
      </w:r>
      <w:r>
        <w:rPr>
          <w:sz w:val="22"/>
          <w:szCs w:val="22"/>
        </w:rPr>
        <w:t xml:space="preserve"> to refresh one KPI, or </w:t>
      </w:r>
      <w:r>
        <w:rPr>
          <w:rFonts w:ascii="Consolas" w:cs="Consolas" w:eastAsia="Consolas" w:hAnsi="Consolas"/>
          <w:color w:val="1E3A5F"/>
          <w:sz w:val="20"/>
          <w:szCs w:val="20"/>
        </w:rPr>
        <w:t xml:space="preserve">{}</w:t>
      </w:r>
      <w:r>
        <w:rPr>
          <w:sz w:val="22"/>
          <w:szCs w:val="22"/>
        </w:rPr>
        <w:t xml:space="preserve"> to refresh all dashboards.</w:t>
      </w:r>
    </w:p>
    <w:p>
      <w:pPr>
        <w:pStyle w:val="ListParagraph"/>
        <w:numPr>
          <w:ilvl w:val="0"/>
          <w:numId w:val="2"/>
        </w:numPr>
        <w:spacing w:after="80" w:line="276"/>
      </w:pPr>
      <w:r>
        <w:rPr>
          <w:sz w:val="22"/>
          <w:szCs w:val="22"/>
        </w:rPr>
        <w:t xml:space="preserve">Because the app derives the id from the modified file's name (or full path), a single flow covers all 21 files with no per-KPI branching. A file whose name has no kpi-NN pattern is safely ignored.</w:t>
      </w:r>
    </w:p>
    <w:p>
      <w:pPr>
        <w:pBdr>
          <w:left w:val="single" w:color="E8622C" w:sz="18" w:space="8"/>
        </w:pBdr>
        <w:shd w:fill="FDF1E7" w:color="auto" w:val="clear"/>
        <w:spacing w:after="120" w:before="80" w:line="276"/>
      </w:pPr>
      <w:r>
        <w:rPr>
          <w:b/>
          <w:bCs/>
          <w:color w:val="E8622C"/>
          <w:sz w:val="22"/>
          <w:szCs w:val="22"/>
        </w:rPr>
        <w:t xml:space="preserve">Note: </w:t>
      </w:r>
      <w:r>
        <w:rPr>
          <w:sz w:val="22"/>
          <w:szCs w:val="22"/>
        </w:rPr>
        <w:t xml:space="preserve">The webhook accepts the secret via the </w:t>
      </w:r>
      <w:r>
        <w:rPr>
          <w:rFonts w:ascii="Consolas" w:cs="Consolas" w:eastAsia="Consolas" w:hAnsi="Consolas"/>
          <w:color w:val="1E3A5F"/>
          <w:sz w:val="20"/>
          <w:szCs w:val="20"/>
        </w:rPr>
        <w:t xml:space="preserve">x-revalidate-secret</w:t>
      </w:r>
      <w:r>
        <w:rPr>
          <w:sz w:val="22"/>
          <w:szCs w:val="22"/>
        </w:rPr>
        <w:t xml:space="preserve"> header or a </w:t>
      </w:r>
      <w:r>
        <w:rPr>
          <w:rFonts w:ascii="Consolas" w:cs="Consolas" w:eastAsia="Consolas" w:hAnsi="Consolas"/>
          <w:color w:val="1E3A5F"/>
          <w:sz w:val="20"/>
          <w:szCs w:val="20"/>
        </w:rPr>
        <w:t xml:space="preserve">?secret=</w:t>
      </w:r>
      <w:r>
        <w:rPr>
          <w:sz w:val="22"/>
          <w:szCs w:val="22"/>
        </w:rPr>
        <w:t xml:space="preserve"> query parameter. It returns 401 if the secret is wrong, 400 if no KPI id could be determined, 404 for an unknown kpiId, and 503 if REVALIDATE_SECRET has not been set on the app. A GET to the same URL is a no-refresh health check.</w:t>
      </w:r>
    </w:p>
    <w:p>
      <w:pPr>
        <w:pStyle w:val="Heading1"/>
        <w:spacing w:after="140" w:before="360"/>
      </w:pPr>
      <w:r>
        <w:rPr>
          <w:b/>
          <w:bCs/>
          <w:color w:val="1E3A5F"/>
          <w:sz w:val="30"/>
          <w:szCs w:val="30"/>
        </w:rPr>
        <w:t xml:space="preserve">8. Troubleshooting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38%"/>
            <w:shd w:fill="1E3A5F" w:color="auto" w:val="clear"/>
            <w:tcMar>
              <w:top w:type="dxa" w:w="60"/>
              <w:left w:type="dxa" w:w="100"/>
              <w:bottom w:type="dxa" w:w="60"/>
              <w:right w:type="dxa" w:w="100"/>
            </w:tcMar>
          </w:tcPr>
          <w:p>
            <w:r>
              <w:rPr>
                <w:b/>
                <w:bCs/>
                <w:color w:val="FFFFFF"/>
                <w:sz w:val="20"/>
                <w:szCs w:val="20"/>
              </w:rPr>
              <w:t xml:space="preserve">Symptom</w:t>
            </w:r>
          </w:p>
        </w:tc>
        <w:tc>
          <w:tcPr>
            <w:tcW w:type="pct" w:w="62%"/>
            <w:shd w:fill="1E3A5F" w:color="auto" w:val="clear"/>
            <w:tcMar>
              <w:top w:type="dxa" w:w="60"/>
              <w:left w:type="dxa" w:w="100"/>
              <w:bottom w:type="dxa" w:w="60"/>
              <w:right w:type="dxa" w:w="100"/>
            </w:tcMar>
          </w:tcPr>
          <w:p>
            <w:r>
              <w:rPr>
                <w:b/>
                <w:bCs/>
                <w:color w:val="FFFFFF"/>
                <w:sz w:val="20"/>
                <w:szCs w:val="20"/>
              </w:rPr>
              <w:t xml:space="preserve">Likely cause and fix</w:t>
            </w:r>
          </w:p>
        </w:tc>
      </w:tr>
      <w:tr>
        <w:tc>
          <w:tcPr>
            <w:tcW w:type="pct" w:w="38%"/>
            <w:shd w:fill="FFFFFF" w:color="auto" w:val="clear"/>
            <w:tcMar>
              <w:top w:type="dxa" w:w="60"/>
              <w:left w:type="dxa" w:w="100"/>
              <w:bottom w:type="dxa" w:w="60"/>
              <w:right w:type="dxa" w:w="100"/>
            </w:tcMar>
          </w:tcPr>
          <w:p>
            <w:r>
              <w:rPr>
                <w:sz w:val="20"/>
                <w:szCs w:val="20"/>
              </w:rPr>
            </w:r>
          </w:p>
        </w:tc>
        <w:tc>
          <w:tcPr>
            <w:tcW w:type="pct" w:w="62%"/>
            <w:shd w:fill="FFFFFF" w:color="auto" w:val="clear"/>
            <w:tcMar>
              <w:top w:type="dxa" w:w="60"/>
              <w:left w:type="dxa" w:w="100"/>
              <w:bottom w:type="dxa" w:w="60"/>
              <w:right w:type="dxa" w:w="100"/>
            </w:tcMar>
          </w:tcPr>
          <w:p>
            <w:r>
              <w:rPr>
                <w:sz w:val="20"/>
                <w:szCs w:val="20"/>
              </w:rPr>
            </w:r>
          </w:p>
        </w:tc>
      </w:tr>
      <w:tr>
        <w:tc>
          <w:tcPr>
            <w:tcW w:type="pct" w:w="38%"/>
            <w:shd w:fill="F3F4F6" w:color="auto" w:val="clear"/>
            <w:tcMar>
              <w:top w:type="dxa" w:w="60"/>
              <w:left w:type="dxa" w:w="100"/>
              <w:bottom w:type="dxa" w:w="60"/>
              <w:right w:type="dxa" w:w="100"/>
            </w:tcMar>
          </w:tcPr>
          <w:p>
            <w:r>
              <w:rPr>
                <w:sz w:val="20"/>
                <w:szCs w:val="20"/>
              </w:rPr>
            </w:r>
          </w:p>
        </w:tc>
        <w:tc>
          <w:tcPr>
            <w:tcW w:type="pct" w:w="62%"/>
            <w:shd w:fill="F3F4F6" w:color="auto" w:val="clear"/>
            <w:tcMar>
              <w:top w:type="dxa" w:w="60"/>
              <w:left w:type="dxa" w:w="100"/>
              <w:bottom w:type="dxa" w:w="60"/>
              <w:right w:type="dxa" w:w="100"/>
            </w:tcMar>
          </w:tcPr>
          <w:p>
            <w:r>
              <w:rPr>
                <w:sz w:val="20"/>
                <w:szCs w:val="20"/>
              </w:rPr>
            </w:r>
          </w:p>
        </w:tc>
      </w:tr>
      <w:tr>
        <w:tc>
          <w:tcPr>
            <w:tcW w:type="pct" w:w="38%"/>
            <w:shd w:fill="FFFFFF" w:color="auto" w:val="clear"/>
            <w:tcMar>
              <w:top w:type="dxa" w:w="60"/>
              <w:left w:type="dxa" w:w="100"/>
              <w:bottom w:type="dxa" w:w="60"/>
              <w:right w:type="dxa" w:w="100"/>
            </w:tcMar>
          </w:tcPr>
          <w:p>
            <w:r>
              <w:rPr>
                <w:sz w:val="20"/>
                <w:szCs w:val="20"/>
              </w:rPr>
            </w:r>
          </w:p>
        </w:tc>
        <w:tc>
          <w:tcPr>
            <w:tcW w:type="pct" w:w="62%"/>
            <w:shd w:fill="FFFFFF" w:color="auto" w:val="clear"/>
            <w:tcMar>
              <w:top w:type="dxa" w:w="60"/>
              <w:left w:type="dxa" w:w="100"/>
              <w:bottom w:type="dxa" w:w="60"/>
              <w:right w:type="dxa" w:w="100"/>
            </w:tcMar>
          </w:tcPr>
          <w:p>
            <w:r>
              <w:rPr>
                <w:sz w:val="20"/>
                <w:szCs w:val="20"/>
              </w:rPr>
            </w:r>
          </w:p>
        </w:tc>
      </w:tr>
      <w:tr>
        <w:tc>
          <w:tcPr>
            <w:tcW w:type="pct" w:w="38%"/>
            <w:shd w:fill="F3F4F6" w:color="auto" w:val="clear"/>
            <w:tcMar>
              <w:top w:type="dxa" w:w="60"/>
              <w:left w:type="dxa" w:w="100"/>
              <w:bottom w:type="dxa" w:w="60"/>
              <w:right w:type="dxa" w:w="100"/>
            </w:tcMar>
          </w:tcPr>
          <w:p>
            <w:r>
              <w:rPr>
                <w:sz w:val="20"/>
                <w:szCs w:val="20"/>
              </w:rPr>
            </w:r>
          </w:p>
        </w:tc>
        <w:tc>
          <w:tcPr>
            <w:tcW w:type="pct" w:w="62%"/>
            <w:shd w:fill="F3F4F6" w:color="auto" w:val="clear"/>
            <w:tcMar>
              <w:top w:type="dxa" w:w="60"/>
              <w:left w:type="dxa" w:w="100"/>
              <w:bottom w:type="dxa" w:w="60"/>
              <w:right w:type="dxa" w:w="100"/>
            </w:tcMar>
          </w:tcPr>
          <w:p>
            <w:r>
              <w:rPr>
                <w:sz w:val="20"/>
                <w:szCs w:val="20"/>
              </w:rPr>
            </w:r>
          </w:p>
        </w:tc>
      </w:tr>
      <w:tr>
        <w:tc>
          <w:tcPr>
            <w:tcW w:type="pct" w:w="38%"/>
            <w:shd w:fill="FFFFFF" w:color="auto" w:val="clear"/>
            <w:tcMar>
              <w:top w:type="dxa" w:w="60"/>
              <w:left w:type="dxa" w:w="100"/>
              <w:bottom w:type="dxa" w:w="60"/>
              <w:right w:type="dxa" w:w="100"/>
            </w:tcMar>
          </w:tcPr>
          <w:p>
            <w:r>
              <w:rPr>
                <w:sz w:val="20"/>
                <w:szCs w:val="20"/>
              </w:rPr>
            </w:r>
          </w:p>
        </w:tc>
        <w:tc>
          <w:tcPr>
            <w:tcW w:type="pct" w:w="62%"/>
            <w:shd w:fill="FFFFFF" w:color="auto" w:val="clear"/>
            <w:tcMar>
              <w:top w:type="dxa" w:w="60"/>
              <w:left w:type="dxa" w:w="100"/>
              <w:bottom w:type="dxa" w:w="60"/>
              <w:right w:type="dxa" w:w="100"/>
            </w:tcMar>
          </w:tcPr>
          <w:p>
            <w:r>
              <w:rPr>
                <w:sz w:val="20"/>
                <w:szCs w:val="20"/>
              </w:rPr>
            </w:r>
          </w:p>
        </w:tc>
      </w:tr>
      <w:tr>
        <w:tc>
          <w:tcPr>
            <w:tcW w:type="pct" w:w="38%"/>
            <w:shd w:fill="F3F4F6" w:color="auto" w:val="clear"/>
            <w:tcMar>
              <w:top w:type="dxa" w:w="60"/>
              <w:left w:type="dxa" w:w="100"/>
              <w:bottom w:type="dxa" w:w="60"/>
              <w:right w:type="dxa" w:w="100"/>
            </w:tcMar>
          </w:tcPr>
          <w:p>
            <w:r>
              <w:rPr>
                <w:sz w:val="20"/>
                <w:szCs w:val="20"/>
              </w:rPr>
            </w:r>
          </w:p>
        </w:tc>
        <w:tc>
          <w:tcPr>
            <w:tcW w:type="pct" w:w="62%"/>
            <w:shd w:fill="F3F4F6" w:color="auto" w:val="clear"/>
            <w:tcMar>
              <w:top w:type="dxa" w:w="60"/>
              <w:left w:type="dxa" w:w="100"/>
              <w:bottom w:type="dxa" w:w="60"/>
              <w:right w:type="dxa" w:w="100"/>
            </w:tcMar>
          </w:tcPr>
          <w:p>
            <w:r>
              <w:rPr>
                <w:sz w:val="20"/>
                <w:szCs w:val="20"/>
              </w:rPr>
            </w:r>
          </w:p>
        </w:tc>
      </w:tr>
    </w:tbl>
    <w:p>
      <w:pPr>
        <w:pStyle w:val="Heading1"/>
        <w:spacing w:after="140" w:before="360"/>
      </w:pPr>
      <w:r>
        <w:rPr>
          <w:b/>
          <w:bCs/>
          <w:color w:val="1E3A5F"/>
          <w:sz w:val="30"/>
          <w:szCs w:val="30"/>
        </w:rPr>
        <w:t xml:space="preserve">Appendix A - Required file names for all 21 KPIs</w:t>
      </w:r>
    </w:p>
    <w:p>
      <w:pPr>
        <w:spacing w:after="120" w:line="288"/>
      </w:pPr>
      <w:r>
        <w:rPr>
          <w:sz w:val="22"/>
          <w:szCs w:val="22"/>
        </w:rPr>
        <w:t xml:space="preserve">Every KPI follows the same flat pattern (the default). The "Full SharePoint path" column assumes the files sit at the root of the Documents library; insert your SHAREPOINT_BASE_PATH sub-folder before the file name if you use one.</w:t>
      </w:r>
    </w:p>
    <w:p>
      <w:pPr>
        <w:spacing w:after="80"/>
      </w:pPr>
      <w:r>
        <w:t xml:space="preserve"/>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14%"/>
            <w:shd w:fill="1E3A5F" w:color="auto" w:val="clear"/>
            <w:tcMar>
              <w:top w:type="dxa" w:w="60"/>
              <w:left w:type="dxa" w:w="100"/>
              <w:bottom w:type="dxa" w:w="60"/>
              <w:right w:type="dxa" w:w="100"/>
            </w:tcMar>
          </w:tcPr>
          <w:p>
            <w:r>
              <w:rPr>
                <w:b/>
                <w:bCs/>
                <w:color w:val="FFFFFF"/>
                <w:sz w:val="20"/>
                <w:szCs w:val="20"/>
              </w:rPr>
              <w:t xml:space="preserve">KPI</w:t>
            </w:r>
          </w:p>
        </w:tc>
        <w:tc>
          <w:tcPr>
            <w:tcW w:type="pct" w:w="26%"/>
            <w:shd w:fill="1E3A5F" w:color="auto" w:val="clear"/>
            <w:tcMar>
              <w:top w:type="dxa" w:w="60"/>
              <w:left w:type="dxa" w:w="100"/>
              <w:bottom w:type="dxa" w:w="60"/>
              <w:right w:type="dxa" w:w="100"/>
            </w:tcMar>
          </w:tcPr>
          <w:p>
            <w:r>
              <w:rPr>
                <w:b/>
                <w:bCs/>
                <w:color w:val="FFFFFF"/>
                <w:sz w:val="20"/>
                <w:szCs w:val="20"/>
              </w:rPr>
              <w:t xml:space="preserve">File name</w:t>
            </w:r>
          </w:p>
        </w:tc>
        <w:tc>
          <w:tcPr>
            <w:tcW w:type="pct" w:w="60%"/>
            <w:shd w:fill="1E3A5F" w:color="auto" w:val="clear"/>
            <w:tcMar>
              <w:top w:type="dxa" w:w="60"/>
              <w:left w:type="dxa" w:w="100"/>
              <w:bottom w:type="dxa" w:w="60"/>
              <w:right w:type="dxa" w:w="100"/>
            </w:tcMar>
          </w:tcPr>
          <w:p>
            <w:r>
              <w:rPr>
                <w:b/>
                <w:bCs/>
                <w:color w:val="FFFFFF"/>
                <w:sz w:val="20"/>
                <w:szCs w:val="20"/>
              </w:rPr>
              <w:t xml:space="preserve">Full SharePoint path</w:t>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r>
        <w:tc>
          <w:tcPr>
            <w:tcW w:type="pct" w:w="14%"/>
            <w:shd w:fill="F3F4F6" w:color="auto" w:val="clear"/>
            <w:tcMar>
              <w:top w:type="dxa" w:w="60"/>
              <w:left w:type="dxa" w:w="100"/>
              <w:bottom w:type="dxa" w:w="60"/>
              <w:right w:type="dxa" w:w="100"/>
            </w:tcMar>
          </w:tcPr>
          <w:p>
            <w:r>
              <w:rPr>
                <w:sz w:val="20"/>
                <w:szCs w:val="20"/>
              </w:rPr>
            </w:r>
          </w:p>
        </w:tc>
        <w:tc>
          <w:tcPr>
            <w:tcW w:type="pct" w:w="26%"/>
            <w:shd w:fill="F3F4F6" w:color="auto" w:val="clear"/>
            <w:tcMar>
              <w:top w:type="dxa" w:w="60"/>
              <w:left w:type="dxa" w:w="100"/>
              <w:bottom w:type="dxa" w:w="60"/>
              <w:right w:type="dxa" w:w="100"/>
            </w:tcMar>
          </w:tcPr>
          <w:p>
            <w:r>
              <w:rPr>
                <w:sz w:val="20"/>
                <w:szCs w:val="20"/>
              </w:rPr>
            </w:r>
          </w:p>
        </w:tc>
        <w:tc>
          <w:tcPr>
            <w:tcW w:type="pct" w:w="60%"/>
            <w:shd w:fill="F3F4F6" w:color="auto" w:val="clear"/>
            <w:tcMar>
              <w:top w:type="dxa" w:w="60"/>
              <w:left w:type="dxa" w:w="100"/>
              <w:bottom w:type="dxa" w:w="60"/>
              <w:right w:type="dxa" w:w="100"/>
            </w:tcMar>
          </w:tcPr>
          <w:p>
            <w:r>
              <w:rPr>
                <w:sz w:val="20"/>
                <w:szCs w:val="20"/>
              </w:rPr>
            </w:r>
          </w:p>
        </w:tc>
      </w:tr>
      <w:tr>
        <w:tc>
          <w:tcPr>
            <w:tcW w:type="pct" w:w="14%"/>
            <w:shd w:fill="FFFFFF" w:color="auto" w:val="clear"/>
            <w:tcMar>
              <w:top w:type="dxa" w:w="60"/>
              <w:left w:type="dxa" w:w="100"/>
              <w:bottom w:type="dxa" w:w="60"/>
              <w:right w:type="dxa" w:w="100"/>
            </w:tcMar>
          </w:tcPr>
          <w:p>
            <w:r>
              <w:rPr>
                <w:sz w:val="20"/>
                <w:szCs w:val="20"/>
              </w:rPr>
            </w:r>
          </w:p>
        </w:tc>
        <w:tc>
          <w:tcPr>
            <w:tcW w:type="pct" w:w="26%"/>
            <w:shd w:fill="FFFFFF" w:color="auto" w:val="clear"/>
            <w:tcMar>
              <w:top w:type="dxa" w:w="60"/>
              <w:left w:type="dxa" w:w="100"/>
              <w:bottom w:type="dxa" w:w="60"/>
              <w:right w:type="dxa" w:w="100"/>
            </w:tcMar>
          </w:tcPr>
          <w:p>
            <w:r>
              <w:rPr>
                <w:sz w:val="20"/>
                <w:szCs w:val="20"/>
              </w:rPr>
            </w:r>
          </w:p>
        </w:tc>
        <w:tc>
          <w:tcPr>
            <w:tcW w:type="pct" w:w="60%"/>
            <w:shd w:fill="FFFFFF" w:color="auto" w:val="clear"/>
            <w:tcMar>
              <w:top w:type="dxa" w:w="60"/>
              <w:left w:type="dxa" w:w="100"/>
              <w:bottom w:type="dxa" w:w="60"/>
              <w:right w:type="dxa" w:w="100"/>
            </w:tcMar>
          </w:tcPr>
          <w:p>
            <w:r>
              <w:rPr>
                <w:sz w:val="20"/>
                <w:szCs w:val="20"/>
              </w:rPr>
            </w:r>
          </w:p>
        </w:tc>
      </w:tr>
    </w:tbl>
    <w:p>
      <w:pPr>
        <w:pStyle w:val="Heading1"/>
        <w:spacing w:after="140" w:before="360"/>
      </w:pPr>
      <w:r>
        <w:rPr>
          <w:b/>
          <w:bCs/>
          <w:color w:val="1E3A5F"/>
          <w:sz w:val="30"/>
          <w:szCs w:val="30"/>
        </w:rPr>
        <w:t xml:space="preserve">Appendix B - Application endpoints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34%"/>
            <w:shd w:fill="1E3A5F" w:color="auto" w:val="clear"/>
            <w:tcMar>
              <w:top w:type="dxa" w:w="60"/>
              <w:left w:type="dxa" w:w="100"/>
              <w:bottom w:type="dxa" w:w="60"/>
              <w:right w:type="dxa" w:w="100"/>
            </w:tcMar>
          </w:tcPr>
          <w:p>
            <w:r>
              <w:rPr>
                <w:b/>
                <w:bCs/>
                <w:color w:val="FFFFFF"/>
                <w:sz w:val="20"/>
                <w:szCs w:val="20"/>
              </w:rPr>
              <w:t xml:space="preserve">Endpoint</w:t>
            </w:r>
          </w:p>
        </w:tc>
        <w:tc>
          <w:tcPr>
            <w:tcW w:type="pct" w:w="66%"/>
            <w:shd w:fill="1E3A5F" w:color="auto" w:val="clear"/>
            <w:tcMar>
              <w:top w:type="dxa" w:w="60"/>
              <w:left w:type="dxa" w:w="100"/>
              <w:bottom w:type="dxa" w:w="60"/>
              <w:right w:type="dxa" w:w="100"/>
            </w:tcMar>
          </w:tcPr>
          <w:p>
            <w:r>
              <w:rPr>
                <w:b/>
                <w:bCs/>
                <w:color w:val="FFFFFF"/>
                <w:sz w:val="20"/>
                <w:szCs w:val="20"/>
              </w:rPr>
              <w:t xml:space="preserve">Purpose</w:t>
            </w:r>
          </w:p>
        </w:tc>
      </w:tr>
      <w:tr>
        <w:tc>
          <w:tcPr>
            <w:tcW w:type="pct" w:w="34%"/>
            <w:shd w:fill="FFFFFF" w:color="auto" w:val="clear"/>
            <w:tcMar>
              <w:top w:type="dxa" w:w="60"/>
              <w:left w:type="dxa" w:w="100"/>
              <w:bottom w:type="dxa" w:w="60"/>
              <w:right w:type="dxa" w:w="100"/>
            </w:tcMar>
          </w:tcPr>
          <w:p>
            <w:r>
              <w:rPr>
                <w:sz w:val="20"/>
                <w:szCs w:val="20"/>
              </w:rPr>
            </w:r>
          </w:p>
        </w:tc>
        <w:tc>
          <w:tcPr>
            <w:tcW w:type="pct" w:w="66%"/>
            <w:shd w:fill="FFFFFF" w:color="auto" w:val="clear"/>
            <w:tcMar>
              <w:top w:type="dxa" w:w="60"/>
              <w:left w:type="dxa" w:w="100"/>
              <w:bottom w:type="dxa" w:w="60"/>
              <w:right w:type="dxa" w:w="100"/>
            </w:tcMar>
          </w:tcPr>
          <w:p>
            <w:r>
              <w:rPr>
                <w:sz w:val="20"/>
                <w:szCs w:val="20"/>
              </w:rPr>
            </w:r>
          </w:p>
        </w:tc>
      </w:tr>
      <w:tr>
        <w:tc>
          <w:tcPr>
            <w:tcW w:type="pct" w:w="34%"/>
            <w:shd w:fill="F3F4F6" w:color="auto" w:val="clear"/>
            <w:tcMar>
              <w:top w:type="dxa" w:w="60"/>
              <w:left w:type="dxa" w:w="100"/>
              <w:bottom w:type="dxa" w:w="60"/>
              <w:right w:type="dxa" w:w="100"/>
            </w:tcMar>
          </w:tcPr>
          <w:p>
            <w:r>
              <w:rPr>
                <w:sz w:val="20"/>
                <w:szCs w:val="20"/>
              </w:rPr>
            </w:r>
          </w:p>
        </w:tc>
        <w:tc>
          <w:tcPr>
            <w:tcW w:type="pct" w:w="66%"/>
            <w:shd w:fill="F3F4F6" w:color="auto" w:val="clear"/>
            <w:tcMar>
              <w:top w:type="dxa" w:w="60"/>
              <w:left w:type="dxa" w:w="100"/>
              <w:bottom w:type="dxa" w:w="60"/>
              <w:right w:type="dxa" w:w="100"/>
            </w:tcMar>
          </w:tcPr>
          <w:p>
            <w:r>
              <w:rPr>
                <w:sz w:val="20"/>
                <w:szCs w:val="20"/>
              </w:rPr>
            </w:r>
          </w:p>
        </w:tc>
      </w:tr>
      <w:tr>
        <w:tc>
          <w:tcPr>
            <w:tcW w:type="pct" w:w="34%"/>
            <w:shd w:fill="FFFFFF" w:color="auto" w:val="clear"/>
            <w:tcMar>
              <w:top w:type="dxa" w:w="60"/>
              <w:left w:type="dxa" w:w="100"/>
              <w:bottom w:type="dxa" w:w="60"/>
              <w:right w:type="dxa" w:w="100"/>
            </w:tcMar>
          </w:tcPr>
          <w:p>
            <w:r>
              <w:rPr>
                <w:sz w:val="20"/>
                <w:szCs w:val="20"/>
              </w:rPr>
            </w:r>
          </w:p>
        </w:tc>
        <w:tc>
          <w:tcPr>
            <w:tcW w:type="pct" w:w="66%"/>
            <w:shd w:fill="FFFFFF" w:color="auto" w:val="clear"/>
            <w:tcMar>
              <w:top w:type="dxa" w:w="60"/>
              <w:left w:type="dxa" w:w="100"/>
              <w:bottom w:type="dxa" w:w="60"/>
              <w:right w:type="dxa" w:w="100"/>
            </w:tcMar>
          </w:tcPr>
          <w:p>
            <w:r>
              <w:rPr>
                <w:sz w:val="20"/>
                <w:szCs w:val="20"/>
              </w:rPr>
            </w:r>
          </w:p>
        </w:tc>
      </w:tr>
      <w:tr>
        <w:tc>
          <w:tcPr>
            <w:tcW w:type="pct" w:w="34%"/>
            <w:shd w:fill="F3F4F6" w:color="auto" w:val="clear"/>
            <w:tcMar>
              <w:top w:type="dxa" w:w="60"/>
              <w:left w:type="dxa" w:w="100"/>
              <w:bottom w:type="dxa" w:w="60"/>
              <w:right w:type="dxa" w:w="100"/>
            </w:tcMar>
          </w:tcPr>
          <w:p>
            <w:r>
              <w:rPr>
                <w:sz w:val="20"/>
                <w:szCs w:val="20"/>
              </w:rPr>
            </w:r>
          </w:p>
        </w:tc>
        <w:tc>
          <w:tcPr>
            <w:tcW w:type="pct" w:w="66%"/>
            <w:shd w:fill="F3F4F6" w:color="auto" w:val="clear"/>
            <w:tcMar>
              <w:top w:type="dxa" w:w="60"/>
              <w:left w:type="dxa" w:w="100"/>
              <w:bottom w:type="dxa" w:w="60"/>
              <w:right w:type="dxa" w:w="100"/>
            </w:tcMar>
          </w:tcPr>
          <w:p>
            <w:r>
              <w:rPr>
                <w:sz w:val="20"/>
                <w:szCs w:val="20"/>
              </w:rPr>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HIAA KPI Dashboard - SharePoint Data Linking Guide</dc:title>
  <dc:creator>CNS HIAA</dc:creator>
  <cp:lastModifiedBy>Un-named</cp:lastModifiedBy>
  <cp:revision>1</cp:revision>
  <dcterms:created xsi:type="dcterms:W3CDTF">2026-07-28T14:56:35.589Z</dcterms:created>
  <dcterms:modified xsi:type="dcterms:W3CDTF">2026-07-28T14:56:35.592Z</dcterms:modified>
</cp:coreProperties>
</file>

<file path=docProps/custom.xml><?xml version="1.0" encoding="utf-8"?>
<Properties xmlns="http://schemas.openxmlformats.org/officeDocument/2006/custom-properties" xmlns:vt="http://schemas.openxmlformats.org/officeDocument/2006/docPropsVTypes"/>
</file>