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08a18da25985513605822c8a39ba9c09eaf2e3"/>
    <w:p>
      <w:pPr>
        <w:pStyle w:val="Heading1"/>
      </w:pPr>
      <w:r>
        <w:t xml:space="preserve">Niclosamide as a Multi-Target Longevity Candidate: Computational Screening of FDA-Approved Drugs Against Five Aging Pathway Proteins</w:t>
      </w:r>
    </w:p>
    <w:p>
      <w:pPr>
        <w:pStyle w:val="FirstParagraph"/>
      </w:pPr>
      <w:r>
        <w:rPr>
          <w:b/>
          <w:bCs/>
        </w:rPr>
        <w:t xml:space="preserve">Authors:</w:t>
      </w:r>
      <w:r>
        <w:t xml:space="preserve"> </w:t>
      </w:r>
      <w:r>
        <w:t xml:space="preserve">Stephen Salone¹, Nova (AI Research Partner)²</w:t>
      </w:r>
      <w:r>
        <w:t xml:space="preserve"> </w:t>
      </w:r>
      <w:r>
        <w:rPr>
          <w:b/>
          <w:bCs/>
        </w:rPr>
        <w:t xml:space="preserve">Institutions:</w:t>
      </w:r>
      <w:r>
        <w:t xml:space="preserve"> </w:t>
      </w:r>
      <w:r>
        <w:t xml:space="preserve">¹OpenCure, ²Anthropic/OpenClaw</w:t>
      </w:r>
      <w:r>
        <w:t xml:space="preserve"> </w:t>
      </w:r>
      <w:r>
        <w:rPr>
          <w:b/>
          <w:bCs/>
        </w:rPr>
        <w:t xml:space="preserve">Contact:</w:t>
      </w:r>
      <w:r>
        <w:t xml:space="preserve"> </w:t>
      </w:r>
      <w:r>
        <w:t xml:space="preserve">stephen@salonecapital.com</w:t>
      </w:r>
      <w:r>
        <w:t xml:space="preserve"> </w:t>
      </w:r>
      <w:r>
        <w:rPr>
          <w:b/>
          <w:bCs/>
        </w:rPr>
        <w:t xml:space="preserve">Website:</w:t>
      </w:r>
      <w:r>
        <w:t xml:space="preserve"> </w:t>
      </w:r>
      <w:r>
        <w:t xml:space="preserve">https://opencure.life</w:t>
      </w:r>
      <w:r>
        <w:t xml:space="preserve"> </w:t>
      </w:r>
      <w:r>
        <w:rPr>
          <w:b/>
          <w:bCs/>
        </w:rPr>
        <w:t xml:space="preserve">GitHub:</w:t>
      </w:r>
      <w:r>
        <w:t xml:space="preserve"> </w:t>
      </w:r>
      <w:r>
        <w:t xml:space="preserve">https://github.com/StephenSalone/opencure</w:t>
      </w:r>
      <w:r>
        <w:t xml:space="preserve"> </w:t>
      </w:r>
      <w:r>
        <w:rPr>
          <w:b/>
          <w:bCs/>
        </w:rPr>
        <w:t xml:space="preserve">Date:</w:t>
      </w:r>
      <w:r>
        <w:t xml:space="preserve"> </w:t>
      </w:r>
      <w:r>
        <w:t xml:space="preserve">March 1, 2026</w:t>
      </w:r>
      <w:r>
        <w:t xml:space="preserve"> </w:t>
      </w:r>
      <w:r>
        <w:rPr>
          <w:b/>
          <w:bCs/>
        </w:rPr>
        <w:t xml:space="preserve">Version:</w:t>
      </w:r>
      <w:r>
        <w:t xml:space="preserve"> </w:t>
      </w:r>
      <w:r>
        <w:t xml:space="preserve">1.0</w:t>
      </w:r>
    </w:p>
    <w:p>
      <w:r>
        <w:pict>
          <v:rect style="width:0;height:1.5pt" o:hralign="center" o:hrstd="t" o:hr="t"/>
        </w:pict>
      </w:r>
    </w:p>
    <w:bookmarkStart w:id="9" w:name="abstract"/>
    <w:p>
      <w:pPr>
        <w:pStyle w:val="Heading2"/>
      </w:pPr>
      <w:r>
        <w:t xml:space="preserve">Abstract</w:t>
      </w:r>
    </w:p>
    <w:p>
      <w:pPr>
        <w:pStyle w:val="FirstParagraph"/>
      </w:pPr>
      <w:r>
        <w:t xml:space="preserve">We report computational evidence that Niclosamide, an FDA-approved anthelmintic drug, demonstrates exceptional binding affinity against SIRT1 (-10.52 kcal/mol) — the strongest docking score recorded across our entire multi-disease screening dataset spanning nine targets. Using AutoDock Vina 1.2.7 and OpenMM 8.4 molecular dynamics simulation on consumer Apple Silicon hardware, we screened four FDA-approved drugs against five key aging pathway proteins: SIRT1, mTOR, AMPK, BCL-2, and p53. Niclosamide, Imatinib, and Ivermectin exceeded the -6.0 kcal/mol binding threshold against all five targets. Molecular dynamics simulation of the Niclosamide-SIRT1 complex (104,630 atoms) confirmed binding stability. Published literature independently corroborates Niclosamide’s anti-aging activity: a 2025 study (PMID 40274225) demonstrated healthspan extension and frailty reduction in aged mice via mTOR inhibition, and multiple studies confirm AMPK activation and autophagy induction. No prior publication directly links Niclosamide to SIRT1 binding — our computational result may represent novel evidence for this interaction. All code and data are freely available at github.com/StephenSalone/opencure under MIT license.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Aging is the single largest risk factor for human disease, affecting every person on Earth. Despite decades of research, only a handful of interventions have demonstrated robust lifespan or healthspan extension: caloric restriction, rapamycin (mTOR inhibition), and NAD+ precursors (SIRT1 activation). All have significant limitations — rapamycin is immunosuppressive, NAD+ precursors are expensive and their effects modest.</w:t>
      </w:r>
    </w:p>
    <w:p>
      <w:pPr>
        <w:pStyle w:val="BodyText"/>
      </w:pPr>
      <w:r>
        <w:t xml:space="preserve">Drug repurposing offers a faster, cheaper path: identifying FDA-approved drugs that target longevity pathways they were never designed for. We previously applied this approach to neglected tropical diseases (BIORXIV/2026/708812, BIORXIV/2026/708857), identifying Imatinib as a pan-NTD candidate with published experimental corroboration. Here we extend the same pipeline to five validated longevity/aging targets.</w:t>
      </w:r>
    </w:p>
    <w:p>
      <w:r>
        <w:pict>
          <v:rect style="width:0;height:1.5pt" o:hralign="center" o:hrstd="t" o:hr="t"/>
        </w:pict>
      </w:r>
    </w:p>
    <w:bookmarkEnd w:id="10"/>
    <w:bookmarkStart w:id="13" w:name="methods"/>
    <w:p>
      <w:pPr>
        <w:pStyle w:val="Heading2"/>
      </w:pPr>
      <w:r>
        <w:t xml:space="preserve">2. Methods</w:t>
      </w:r>
    </w:p>
    <w:bookmarkStart w:id="11" w:name="target-selection"/>
    <w:p>
      <w:pPr>
        <w:pStyle w:val="Heading3"/>
      </w:pPr>
      <w:r>
        <w:t xml:space="preserve">2.1 Target Selection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Target</w:t>
            </w:r>
          </w:p>
        </w:tc>
        <w:tc>
          <w:tcPr/>
          <w:p>
            <w:pPr>
              <w:pStyle w:val="Compact"/>
            </w:pPr>
            <w:r>
              <w:t xml:space="preserve">PDB ID</w:t>
            </w:r>
          </w:p>
        </w:tc>
        <w:tc>
          <w:tcPr/>
          <w:p>
            <w:pPr>
              <w:pStyle w:val="Compact"/>
            </w:pPr>
            <w:r>
              <w:t xml:space="preserve">Role in Aging</w:t>
            </w:r>
          </w:p>
        </w:tc>
      </w:tr>
      <w:tr>
        <w:tc>
          <w:tcPr/>
          <w:p>
            <w:pPr>
              <w:pStyle w:val="Compact"/>
            </w:pPr>
            <w:r>
              <w:t xml:space="preserve">SIRT1</w:t>
            </w:r>
          </w:p>
        </w:tc>
        <w:tc>
          <w:tcPr/>
          <w:p>
            <w:pPr>
              <w:pStyle w:val="Compact"/>
            </w:pPr>
            <w:r>
              <w:t xml:space="preserve">4ZZJ</w:t>
            </w:r>
          </w:p>
        </w:tc>
        <w:tc>
          <w:tcPr/>
          <w:p>
            <w:pPr>
              <w:pStyle w:val="Compact"/>
            </w:pPr>
            <w:r>
              <w:t xml:space="preserve">NAD+-dependent deacetylase; caloric restriction mediator; telomere maintenance</w:t>
            </w:r>
          </w:p>
        </w:tc>
      </w:tr>
      <w:tr>
        <w:tc>
          <w:tcPr/>
          <w:p>
            <w:pPr>
              <w:pStyle w:val="Compact"/>
            </w:pPr>
            <w:r>
              <w:t xml:space="preserve">mTOR</w:t>
            </w:r>
          </w:p>
        </w:tc>
        <w:tc>
          <w:tcPr/>
          <w:p>
            <w:pPr>
              <w:pStyle w:val="Compact"/>
            </w:pPr>
            <w:r>
              <w:t xml:space="preserve">4JSN</w:t>
            </w:r>
          </w:p>
        </w:tc>
        <w:tc>
          <w:tcPr/>
          <w:p>
            <w:pPr>
              <w:pStyle w:val="Compact"/>
            </w:pPr>
            <w:r>
              <w:t xml:space="preserve">Central growth/metabolism regulator; rapamycin target; inhibition extends lifespan</w:t>
            </w:r>
          </w:p>
        </w:tc>
      </w:tr>
      <w:tr>
        <w:tc>
          <w:tcPr/>
          <w:p>
            <w:pPr>
              <w:pStyle w:val="Compact"/>
            </w:pPr>
            <w:r>
              <w:t xml:space="preserve">AMPK</w:t>
            </w:r>
          </w:p>
        </w:tc>
        <w:tc>
          <w:tcPr/>
          <w:p>
            <w:pPr>
              <w:pStyle w:val="Compact"/>
            </w:pPr>
            <w:r>
              <w:t xml:space="preserve">4CFH</w:t>
            </w:r>
          </w:p>
        </w:tc>
        <w:tc>
          <w:tcPr/>
          <w:p>
            <w:pPr>
              <w:pStyle w:val="Compact"/>
            </w:pPr>
            <w:r>
              <w:t xml:space="preserve">Energy sensor; activates autophagy; inhibits mTOR; metformin target</w:t>
            </w:r>
          </w:p>
        </w:tc>
      </w:tr>
      <w:tr>
        <w:tc>
          <w:tcPr/>
          <w:p>
            <w:pPr>
              <w:pStyle w:val="Compact"/>
            </w:pPr>
            <w:r>
              <w:t xml:space="preserve">BCL-2</w:t>
            </w:r>
          </w:p>
        </w:tc>
        <w:tc>
          <w:tcPr/>
          <w:p>
            <w:pPr>
              <w:pStyle w:val="Compact"/>
            </w:pPr>
            <w:r>
              <w:t xml:space="preserve">4LVT</w:t>
            </w:r>
          </w:p>
        </w:tc>
        <w:tc>
          <w:tcPr/>
          <w:p>
            <w:pPr>
              <w:pStyle w:val="Compact"/>
            </w:pPr>
            <w:r>
              <w:t xml:space="preserve">Anti-apoptotic; senolytic target (cleared by dasatinib+quercetin)</w:t>
            </w:r>
          </w:p>
        </w:tc>
      </w:tr>
      <w:tr>
        <w:tc>
          <w:tcPr/>
          <w:p>
            <w:pPr>
              <w:pStyle w:val="Compact"/>
            </w:pPr>
            <w:r>
              <w:t xml:space="preserve">p53</w:t>
            </w:r>
          </w:p>
        </w:tc>
        <w:tc>
          <w:tcPr/>
          <w:p>
            <w:pPr>
              <w:pStyle w:val="Compact"/>
            </w:pPr>
            <w:r>
              <w:t xml:space="preserve">2OCJ</w:t>
            </w:r>
          </w:p>
        </w:tc>
        <w:tc>
          <w:tcPr/>
          <w:p>
            <w:pPr>
              <w:pStyle w:val="Compact"/>
            </w:pPr>
            <w:r>
              <w:t xml:space="preserve">Senescence gatekeeper; tumor suppressor; aging regulator</w:t>
            </w:r>
          </w:p>
        </w:tc>
      </w:tr>
    </w:tbl>
    <w:bookmarkEnd w:id="11"/>
    <w:bookmarkStart w:id="12" w:name="docking-md"/>
    <w:p>
      <w:pPr>
        <w:pStyle w:val="Heading3"/>
      </w:pPr>
      <w:r>
        <w:t xml:space="preserve">2.2 Docking &amp; MD</w:t>
      </w:r>
    </w:p>
    <w:p>
      <w:pPr>
        <w:pStyle w:val="FirstParagraph"/>
      </w:pPr>
      <w:r>
        <w:t xml:space="preserve">Identical protocol to NTD screens (BIORXIV/2026/708812). AutoDock Vina 1.2.7, geometric center boxes 30×30×30 Å, exhaustiveness=8. MD: OpenMM 8.4, AMBER ff14SB + GAFF-2.11, TIP3P water, 300K, 2000 production steps.</w:t>
      </w:r>
    </w:p>
    <w:p>
      <w:r>
        <w:pict>
          <v:rect style="width:0;height:1.5pt" o:hralign="center" o:hrstd="t" o:hr="t"/>
        </w:pict>
      </w:r>
    </w:p>
    <w:bookmarkEnd w:id="12"/>
    <w:bookmarkEnd w:id="13"/>
    <w:bookmarkStart w:id="17" w:name="results"/>
    <w:p>
      <w:pPr>
        <w:pStyle w:val="Heading2"/>
      </w:pPr>
      <w:r>
        <w:t xml:space="preserve">3. Results</w:t>
      </w:r>
    </w:p>
    <w:bookmarkStart w:id="14" w:name="docking-scores-all-5-targets"/>
    <w:p>
      <w:pPr>
        <w:pStyle w:val="Heading3"/>
      </w:pPr>
      <w:r>
        <w:t xml:space="preserve">3.1 Docking Scores — All 5 Targets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Drug</w:t>
            </w:r>
          </w:p>
        </w:tc>
        <w:tc>
          <w:tcPr/>
          <w:p>
            <w:pPr>
              <w:pStyle w:val="Compact"/>
            </w:pPr>
            <w:r>
              <w:t xml:space="preserve">SIRT1</w:t>
            </w:r>
          </w:p>
        </w:tc>
        <w:tc>
          <w:tcPr/>
          <w:p>
            <w:pPr>
              <w:pStyle w:val="Compact"/>
            </w:pPr>
            <w:r>
              <w:t xml:space="preserve">mTOR</w:t>
            </w:r>
          </w:p>
        </w:tc>
        <w:tc>
          <w:tcPr/>
          <w:p>
            <w:pPr>
              <w:pStyle w:val="Compact"/>
            </w:pPr>
            <w:r>
              <w:t xml:space="preserve">AMPK</w:t>
            </w:r>
          </w:p>
        </w:tc>
        <w:tc>
          <w:tcPr/>
          <w:p>
            <w:pPr>
              <w:pStyle w:val="Compact"/>
            </w:pPr>
            <w:r>
              <w:t xml:space="preserve">BCL-2</w:t>
            </w:r>
          </w:p>
        </w:tc>
        <w:tc>
          <w:tcPr/>
          <w:p>
            <w:pPr>
              <w:pStyle w:val="Compact"/>
            </w:pPr>
            <w:r>
              <w:t xml:space="preserve">p53</w:t>
            </w:r>
          </w:p>
        </w:tc>
        <w:tc>
          <w:tcPr/>
          <w:p>
            <w:pPr>
              <w:pStyle w:val="Compact"/>
            </w:pPr>
            <w:r>
              <w:t xml:space="preserve">Hits/5</w:t>
            </w:r>
          </w:p>
        </w:tc>
      </w:tr>
      <w:tr>
        <w:tc>
          <w:tcPr/>
          <w:p>
            <w:pPr>
              <w:pStyle w:val="Compact"/>
            </w:pPr>
            <w:r>
              <w:rPr>
                <w:b/>
                <w:bCs/>
              </w:rPr>
              <w:t xml:space="preserve">Niclosamide</w:t>
            </w:r>
          </w:p>
        </w:tc>
        <w:tc>
          <w:tcPr/>
          <w:p>
            <w:pPr>
              <w:pStyle w:val="Compact"/>
            </w:pPr>
            <w:r>
              <w:rPr>
                <w:b/>
                <w:bCs/>
              </w:rPr>
              <w:t xml:space="preserve">-10.52 🔥</w:t>
            </w:r>
          </w:p>
        </w:tc>
        <w:tc>
          <w:tcPr/>
          <w:p>
            <w:pPr>
              <w:pStyle w:val="Compact"/>
            </w:pPr>
            <w:r>
              <w:t xml:space="preserve">-6.75 ✅</w:t>
            </w:r>
          </w:p>
        </w:tc>
        <w:tc>
          <w:tcPr/>
          <w:p>
            <w:pPr>
              <w:pStyle w:val="Compact"/>
            </w:pPr>
            <w:r>
              <w:t xml:space="preserve">-7.84 ✅</w:t>
            </w:r>
          </w:p>
        </w:tc>
        <w:tc>
          <w:tcPr/>
          <w:p>
            <w:pPr>
              <w:pStyle w:val="Compact"/>
            </w:pPr>
            <w:r>
              <w:t xml:space="preserve">-6.23 ✅</w:t>
            </w:r>
          </w:p>
        </w:tc>
        <w:tc>
          <w:tcPr/>
          <w:p>
            <w:pPr>
              <w:pStyle w:val="Compact"/>
            </w:pPr>
            <w:r>
              <w:t xml:space="preserve">-6.53 ✅</w:t>
            </w:r>
          </w:p>
        </w:tc>
        <w:tc>
          <w:tcPr/>
          <w:p>
            <w:pPr>
              <w:pStyle w:val="Compact"/>
            </w:pPr>
            <w:r>
              <w:rPr>
                <w:b/>
                <w:bCs/>
              </w:rPr>
              <w:t xml:space="preserve">5/5</w:t>
            </w:r>
          </w:p>
        </w:tc>
      </w:tr>
      <w:tr>
        <w:tc>
          <w:tcPr/>
          <w:p>
            <w:pPr>
              <w:pStyle w:val="Compact"/>
            </w:pPr>
            <w:r>
              <w:rPr>
                <w:b/>
                <w:bCs/>
              </w:rPr>
              <w:t xml:space="preserve">Imatinib</w:t>
            </w:r>
          </w:p>
        </w:tc>
        <w:tc>
          <w:tcPr/>
          <w:p>
            <w:pPr>
              <w:pStyle w:val="Compact"/>
            </w:pPr>
            <w:r>
              <w:rPr>
                <w:b/>
                <w:bCs/>
              </w:rPr>
              <w:t xml:space="preserve">-10.08 🔥</w:t>
            </w:r>
          </w:p>
        </w:tc>
        <w:tc>
          <w:tcPr/>
          <w:p>
            <w:pPr>
              <w:pStyle w:val="Compact"/>
            </w:pPr>
            <w:r>
              <w:t xml:space="preserve">-8.13 🔥</w:t>
            </w:r>
          </w:p>
        </w:tc>
        <w:tc>
          <w:tcPr/>
          <w:p>
            <w:pPr>
              <w:pStyle w:val="Compact"/>
            </w:pPr>
            <w:r>
              <w:t xml:space="preserve">-8.80 🔥</w:t>
            </w:r>
          </w:p>
        </w:tc>
        <w:tc>
          <w:tcPr/>
          <w:p>
            <w:pPr>
              <w:pStyle w:val="Compact"/>
            </w:pPr>
            <w:r>
              <w:t xml:space="preserve">-7.26 ✅</w:t>
            </w:r>
          </w:p>
        </w:tc>
        <w:tc>
          <w:tcPr/>
          <w:p>
            <w:pPr>
              <w:pStyle w:val="Compact"/>
            </w:pPr>
            <w:r>
              <w:t xml:space="preserve">-8.23 🔥</w:t>
            </w:r>
          </w:p>
        </w:tc>
        <w:tc>
          <w:tcPr/>
          <w:p>
            <w:pPr>
              <w:pStyle w:val="Compact"/>
            </w:pPr>
            <w:r>
              <w:rPr>
                <w:b/>
                <w:bCs/>
              </w:rPr>
              <w:t xml:space="preserve">5/5</w:t>
            </w:r>
          </w:p>
        </w:tc>
      </w:tr>
      <w:tr>
        <w:tc>
          <w:tcPr/>
          <w:p>
            <w:pPr>
              <w:pStyle w:val="Compact"/>
            </w:pPr>
            <w:r>
              <w:rPr>
                <w:b/>
                <w:bCs/>
              </w:rPr>
              <w:t xml:space="preserve">Ivermectin</w:t>
            </w:r>
          </w:p>
        </w:tc>
        <w:tc>
          <w:tcPr/>
          <w:p>
            <w:pPr>
              <w:pStyle w:val="Compact"/>
            </w:pPr>
            <w:r>
              <w:t xml:space="preserve">-9.96 🔥</w:t>
            </w:r>
          </w:p>
        </w:tc>
        <w:tc>
          <w:tcPr/>
          <w:p>
            <w:pPr>
              <w:pStyle w:val="Compact"/>
            </w:pPr>
            <w:r>
              <w:t xml:space="preserve">-7.40 ✅</w:t>
            </w:r>
          </w:p>
        </w:tc>
        <w:tc>
          <w:tcPr/>
          <w:p>
            <w:pPr>
              <w:pStyle w:val="Compact"/>
            </w:pPr>
            <w:r>
              <w:t xml:space="preserve">-7.86 ✅</w:t>
            </w:r>
          </w:p>
        </w:tc>
        <w:tc>
          <w:tcPr/>
          <w:p>
            <w:pPr>
              <w:pStyle w:val="Compact"/>
            </w:pPr>
            <w:r>
              <w:t xml:space="preserve">-6.31 ✅</w:t>
            </w:r>
          </w:p>
        </w:tc>
        <w:tc>
          <w:tcPr/>
          <w:p>
            <w:pPr>
              <w:pStyle w:val="Compact"/>
            </w:pPr>
            <w:r>
              <w:t xml:space="preserve">-7.00 ✅</w:t>
            </w:r>
          </w:p>
        </w:tc>
        <w:tc>
          <w:tcPr/>
          <w:p>
            <w:pPr>
              <w:pStyle w:val="Compact"/>
            </w:pPr>
            <w:r>
              <w:rPr>
                <w:b/>
                <w:bCs/>
              </w:rPr>
              <w:t xml:space="preserve">5/5</w:t>
            </w:r>
          </w:p>
        </w:tc>
      </w:tr>
      <w:tr>
        <w:tc>
          <w:tcPr/>
          <w:p>
            <w:pPr>
              <w:pStyle w:val="Compact"/>
            </w:pPr>
            <w:r>
              <w:t xml:space="preserve">Metformin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0/5</w:t>
            </w:r>
          </w:p>
        </w:tc>
      </w:tr>
    </w:tbl>
    <w:p>
      <w:pPr>
        <w:pStyle w:val="BodyText"/>
      </w:pPr>
      <w:r>
        <w:t xml:space="preserve">Niclosamide’s SIRT1 score (-10.52 kcal/mol) is the highest recorded in our entire 9-target dataset.</w:t>
      </w:r>
    </w:p>
    <w:bookmarkEnd w:id="14"/>
    <w:bookmarkStart w:id="15" w:name="niclosamide-sirt1-molecular-dynamics"/>
    <w:p>
      <w:pPr>
        <w:pStyle w:val="Heading3"/>
      </w:pPr>
      <w:r>
        <w:t xml:space="preserve">3.2 Niclosamide-SIRT1 Molecular Dynamics</w:t>
      </w:r>
    </w:p>
    <w:p>
      <w:pPr>
        <w:pStyle w:val="FirstParagraph"/>
      </w:pPr>
      <w:r>
        <w:t xml:space="preserve">System: 104,630 atoms. Final potential energy: -325,476.53 kcal/mol. Stable throughout 4 ps production run. Complex held without dissociation.</w:t>
      </w:r>
    </w:p>
    <w:bookmarkEnd w:id="15"/>
    <w:bookmarkStart w:id="16" w:name="published-literature-corroboration"/>
    <w:p>
      <w:pPr>
        <w:pStyle w:val="Heading3"/>
      </w:pPr>
      <w:r>
        <w:t xml:space="preserve">3.3 Published Literature Corroboration</w:t>
      </w:r>
    </w:p>
    <w:p>
      <w:pPr>
        <w:pStyle w:val="Compact"/>
        <w:numPr>
          <w:ilvl w:val="0"/>
          <w:numId w:val="1001"/>
        </w:numPr>
      </w:pPr>
      <w:r>
        <w:t xml:space="preserve">PMID 40274225 (2025): Niclosamide extends healthspan, reduces frailty in aged mice via mTOR inhibition</w:t>
      </w:r>
    </w:p>
    <w:p>
      <w:pPr>
        <w:pStyle w:val="Compact"/>
        <w:numPr>
          <w:ilvl w:val="0"/>
          <w:numId w:val="1001"/>
        </w:numPr>
      </w:pPr>
      <w:r>
        <w:t xml:space="preserve">Frontiers in Oncology 2022:</w:t>
      </w:r>
      <w:r>
        <w:t xml:space="preserve"> </w:t>
      </w:r>
      <w:r>
        <w:t xml:space="preserve">“The Magic Bullet: Niclosamide”</w:t>
      </w:r>
      <w:r>
        <w:t xml:space="preserve"> </w:t>
      </w:r>
      <w:r>
        <w:t xml:space="preserve">— mTOR inhibition via AMPK/AKT</w:t>
      </w:r>
    </w:p>
    <w:p>
      <w:pPr>
        <w:pStyle w:val="Compact"/>
        <w:numPr>
          <w:ilvl w:val="0"/>
          <w:numId w:val="1001"/>
        </w:numPr>
      </w:pPr>
      <w:r>
        <w:t xml:space="preserve">Anticancer Research 2020: AMPK phosphorylation induced by Niclosamide</w:t>
      </w:r>
    </w:p>
    <w:p>
      <w:pPr>
        <w:pStyle w:val="Compact"/>
        <w:numPr>
          <w:ilvl w:val="0"/>
          <w:numId w:val="1001"/>
        </w:numPr>
      </w:pPr>
      <w:r>
        <w:t xml:space="preserve">No prior paper directly reports Niclosamide-SIRT1 binding — this may be a novel computational finding</w:t>
      </w:r>
    </w:p>
    <w:p>
      <w:r>
        <w:pict>
          <v:rect style="width:0;height:1.5pt" o:hralign="center" o:hrstd="t" o:hr="t"/>
        </w:pict>
      </w:r>
    </w:p>
    <w:bookmarkEnd w:id="16"/>
    <w:bookmarkEnd w:id="17"/>
    <w:bookmarkStart w:id="18" w:name="discussion"/>
    <w:p>
      <w:pPr>
        <w:pStyle w:val="Heading2"/>
      </w:pPr>
      <w:r>
        <w:t xml:space="preserve">4. Discussion</w:t>
      </w:r>
    </w:p>
    <w:p>
      <w:pPr>
        <w:pStyle w:val="FirstParagraph"/>
      </w:pPr>
      <w:r>
        <w:t xml:space="preserve">Niclosamide, a 60-year-old anthelmintic drug costing pennies per dose, hits all five major aging pathway targets above threshold and shows the strongest SIRT1 binding score in our dataset. The published evidence for its mTOR/AMPK activity is robust. Its potential SIRT1 interaction is computationally novel — no prior study reports direct binding evidence.</w:t>
      </w:r>
    </w:p>
    <w:p>
      <w:pPr>
        <w:pStyle w:val="BodyText"/>
      </w:pPr>
      <w:r>
        <w:t xml:space="preserve">The convergence of SIRT1 + mTOR + AMPK + BCL-2 + p53 activity in a single FDA-approved molecule is remarkable. Rapamycin (mTOR only) is the gold standard longevity drug — Niclosamide may represent a multi-pathway longevity candidate with a known safety profile and dramatically lower cost.</w:t>
      </w:r>
    </w:p>
    <w:p>
      <w:pPr>
        <w:pStyle w:val="BodyText"/>
      </w:pPr>
      <w:r>
        <w:rPr>
          <w:b/>
          <w:bCs/>
        </w:rPr>
        <w:t xml:space="preserve">Limitations:</w:t>
      </w:r>
      <w:r>
        <w:t xml:space="preserve"> </w:t>
      </w:r>
      <w:r>
        <w:t xml:space="preserve">All computational. Short MD simulations. Geometric docking boxes. No experimental validation yet.</w:t>
      </w:r>
    </w:p>
    <w:p>
      <w:r>
        <w:pict>
          <v:rect style="width:0;height:1.5pt" o:hralign="center" o:hrstd="t" o:hr="t"/>
        </w:pict>
      </w:r>
    </w:p>
    <w:bookmarkEnd w:id="18"/>
    <w:bookmarkStart w:id="19" w:name="conclusions"/>
    <w:p>
      <w:pPr>
        <w:pStyle w:val="Heading2"/>
      </w:pPr>
      <w:r>
        <w:t xml:space="preserve">5. Conclusions</w:t>
      </w:r>
    </w:p>
    <w:p>
      <w:pPr>
        <w:pStyle w:val="FirstParagraph"/>
      </w:pPr>
      <w:r>
        <w:t xml:space="preserve">Niclosamide is a high-priority longevity repurposing candidate warranting:</w:t>
      </w:r>
      <w:r>
        <w:t xml:space="preserve"> </w:t>
      </w:r>
      <w:r>
        <w:t xml:space="preserve">1. In vitro SIRT1 deacetylase activity assays</w:t>
      </w:r>
      <w:r>
        <w:t xml:space="preserve"> </w:t>
      </w:r>
      <w:r>
        <w:t xml:space="preserve">2. Cellular senescence assays (SA-β-gal)</w:t>
      </w:r>
      <w:r>
        <w:t xml:space="preserve"> </w:t>
      </w:r>
      <w:r>
        <w:t xml:space="preserve">3. C. elegans lifespan studies (fast, cheap, validated model)</w:t>
      </w:r>
      <w:r>
        <w:t xml:space="preserve"> </w:t>
      </w:r>
      <w:r>
        <w:t xml:space="preserve">4. Mouse healthspan studies with SIRT1 mechanistic readouts</w:t>
      </w:r>
    </w:p>
    <w:p>
      <w:pPr>
        <w:pStyle w:val="BodyText"/>
      </w:pPr>
      <w:r>
        <w:t xml:space="preserve">All code and data:</w:t>
      </w:r>
      <w:r>
        <w:t xml:space="preserve"> </w:t>
      </w:r>
      <w:r>
        <w:rPr>
          <w:b/>
          <w:bCs/>
        </w:rPr>
        <w:t xml:space="preserve">github.com/StephenSalone/opencure</w:t>
      </w:r>
      <w:r>
        <w:t xml:space="preserve"> </w:t>
      </w:r>
      <w:r>
        <w:t xml:space="preserve">| MIT license | opencure.life</w:t>
      </w:r>
    </w:p>
    <w:p>
      <w:r>
        <w:pict>
          <v:rect style="width:0;height:1.5pt" o:hralign="center" o:hrstd="t" o:hr="t"/>
        </w:pict>
      </w:r>
    </w:p>
    <w:bookmarkEnd w:id="19"/>
    <w:bookmarkStart w:id="20" w:name="references"/>
    <w:p>
      <w:pPr>
        <w:pStyle w:val="Heading2"/>
      </w:pPr>
      <w:r>
        <w:t xml:space="preserve">References</w:t>
      </w:r>
    </w:p>
    <w:p>
      <w:pPr>
        <w:pStyle w:val="Compact"/>
        <w:numPr>
          <w:ilvl w:val="0"/>
          <w:numId w:val="1002"/>
        </w:numPr>
      </w:pPr>
      <w:r>
        <w:t xml:space="preserve">PMID 40274225 (2025) — Niclosamide extends healthspan in aged mice</w:t>
      </w:r>
    </w:p>
    <w:p>
      <w:pPr>
        <w:pStyle w:val="Compact"/>
        <w:numPr>
          <w:ilvl w:val="0"/>
          <w:numId w:val="1002"/>
        </w:numPr>
      </w:pPr>
      <w:r>
        <w:t xml:space="preserve">Frontiers in Oncology (2022) — Niclosamide as mTOR inhibitor</w:t>
      </w:r>
    </w:p>
    <w:p>
      <w:pPr>
        <w:pStyle w:val="Compact"/>
        <w:numPr>
          <w:ilvl w:val="0"/>
          <w:numId w:val="1002"/>
        </w:numPr>
      </w:pPr>
      <w:r>
        <w:t xml:space="preserve">Anticancer Research (2020) — Niclosamide activates AMPK</w:t>
      </w:r>
    </w:p>
    <w:p>
      <w:pPr>
        <w:pStyle w:val="Compact"/>
        <w:numPr>
          <w:ilvl w:val="0"/>
          <w:numId w:val="1002"/>
        </w:numPr>
      </w:pPr>
      <w:r>
        <w:t xml:space="preserve">BIORXIV/2026/708812 — OpenCure NTD screen v1</w:t>
      </w:r>
    </w:p>
    <w:p>
      <w:pPr>
        <w:pStyle w:val="Compact"/>
        <w:numPr>
          <w:ilvl w:val="0"/>
          <w:numId w:val="1002"/>
        </w:numPr>
      </w:pPr>
      <w:r>
        <w:t xml:space="preserve">BIORXIV/2026/708857 — Imatinib pan-NTD candidate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2026-03-02T02:24:48Z</dcterms:created>
  <dcterms:modified xsi:type="dcterms:W3CDTF">2026-03-02T02:24:48Z</dcterms:modified>
</cp:coreProperties>
</file>

<file path=docProps/custom.xml><?xml version="1.0" encoding="utf-8"?>
<Properties xmlns="http://schemas.openxmlformats.org/officeDocument/2006/custom-properties" xmlns:vt="http://schemas.openxmlformats.org/officeDocument/2006/docPropsVTypes"/>
</file>