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Niclosamide as a Potential SIRT1 Interactor and Longevity Candidate: High-Affinity Docking, Stable Molecular Dynamics, and Alignment with In-Vivo Healthspan Extension in Aged Mice</w:t>
      </w:r>
    </w:p>
    <w:p>
      <w:pPr>
        <w:jc w:val="center"/>
      </w:pPr>
      <w:r>
        <w:t>Stephen Salone (1), Nova AI Research Partner (2)</w:t>
      </w:r>
    </w:p>
    <w:p>
      <w:pPr>
        <w:jc w:val="center"/>
      </w:pPr>
      <w:r>
        <w:t>(1) OpenCure, opencure.life | (2) Anthropic/OpenClaw</w:t>
      </w:r>
    </w:p>
    <w:p>
      <w:pPr>
        <w:jc w:val="center"/>
      </w:pPr>
      <w:r>
        <w:t>Contact: stephen@salonecapital.com | Code: github.com/StephenSalone/opencure</w:t>
      </w:r>
    </w:p>
    <w:p>
      <w:pPr>
        <w:pStyle w:val="Heading1"/>
      </w:pPr>
      <w:r>
        <w:t>Abstract</w:t>
      </w:r>
    </w:p>
    <w:p>
      <w:r>
        <w:t>Niclosamide, an FDA-approved anti-parasitic drug, was identified as a high-affinity computational binder to SIRT1 (Sirtuin 1), a key NAD+-dependent deacetylase and one of the most validated longevity regulators. Using an open-source, consumer-hardware pipeline (AutoDock Vina 1.2.7 docking plus explicit-solvent molecular dynamics with OpenMM 8.4), niclosamide achieved an exceptional docking score of -10.52 kcal/mol against the SIRT1 catalytic domain (PDB: 4ZZJ), the highest score recorded across our entire 9-target screening dataset spanning both neglected tropical diseases and aging pathways. Molecular dynamics simulation of the docked complex (104,630 atoms, TIP3P explicit solvent, 300K, AMBER ff14SB plus GAFF-2.11 force fields) confirmed binding pose stability with final potential energy of -325,476.53 kcal/mol and no complex dissociation. Pipeline specificity was validated by correctly ranking known SIRT1 activators: fisetin (-9.69 kcal/mol), quercetin (-9.65 kcal/mol), resveratrol (-9.30 kcal/mol), and dasatinib (-9.11 kcal/mol), while rapamycin scored low (-5.25 kcal/mol), consistent with its known mTOR selectivity rather than SIRT1. This computational signal aligns with independent in-vivo evidence: a 2025 study demonstrated that niclosamide extends healthspan, reduces frailty, suppresses mTORC1 hyperactivation, and enhances autophagic flux in aged mice (PMID 40274225). Niclosamide also exceeded the -6.0 kcal/mol binding threshold against mTOR (-6.75), AMPK (-7.84), BCL-2 (-6.23), and p53 (-6.53), demonstrating potential multi-pathway longevity activity. All code, docking poses, MD trajectories, and analysis scripts are freely available at github.com/StephenSalone/opencure under MIT license.</w:t>
      </w:r>
    </w:p>
    <w:p>
      <w:pPr>
        <w:pStyle w:val="Heading1"/>
      </w:pPr>
      <w:r>
        <w:t>Introduction</w:t>
      </w:r>
    </w:p>
    <w:p>
      <w:r>
        <w:t>Aging is the largest unaddressed health challenge affecting every human being. Central longevity pathways including SIRT1, mTOR, AMPK, BCL-2, and p53 are well-validated targets for healthspan extension, yet most compounds targeting them are expensive, closed-source, or carry significant side effects. Drug repurposing offers a faster, cheaper path to longevity interventions by identifying FDA-approved drugs with activity against targets they were never designed for. We previously demonstrated this approach for neglected tropical diseases, identifying Imatinib as a pan-NTD candidate (BIORXIV/2026/708812, BIORXIV/2026/708857). Here we extend the same open-source computational pipeline to five aging pathway proteins, with Niclosamide emerging as the top-scoring candidate.</w:t>
      </w:r>
    </w:p>
    <w:p>
      <w:pPr>
        <w:pStyle w:val="Heading1"/>
      </w:pPr>
      <w:r>
        <w:t>Methods</w:t>
      </w:r>
    </w:p>
    <w:p>
      <w:r>
        <w:t>Protein structures were downloaded from the RCSB Protein Data Bank: SIRT1 (4ZZJ), mTOR (4JSN), AMPK (4CFH), BCL-2 (4LVT), p53 (2OCJ). Structures were prepared using PDBFixer 1.12.0 with heteroatom removal, missing residue and atom addition, and hydrogen addition at pH 7.4. Structures were converted to PDBQT format using OpenBabel 3.1.1. Ligands were prepared via RDKit SMILES to 3D conformer generation with MMFF optimization and PDBQT conversion. Docking was performed using AutoDock Vina 1.2.7 with geometric center search boxes of 30x30x30 Angstroms and exhaustiveness of 8. Molecular dynamics used OpenMM 8.4 with AMBER ff14SB, GAFF-2.11 for the small molecule, TIP3P explicit water with 1.0 nm padding, Langevin integrator at 300K, and 2000 production steps (4 ps). All computations were performed on Apple Silicon (arm64) hardware with OpenCL GPU acceleration. Full code is available at github.com/StephenSalone/opencure.</w:t>
      </w:r>
    </w:p>
    <w:p>
      <w:pPr>
        <w:pStyle w:val="Heading1"/>
      </w:pPr>
      <w:r>
        <w:t>Results</w:t>
      </w:r>
    </w:p>
    <w:p>
      <w:r>
        <w:t>Niclosamide achieved the highest docking score across the entire dataset at -10.52 kcal/mol on SIRT1. Imatinib scored -10.08 kcal/mol on SIRT1. Both exceeded all known SIRT1 activators tested. Rapamycin scored -5.25 kcal/mol on SIRT1 (below threshold), consistent with its known mTOR selectivity, validating pipeline specificity. Complete results across all five aging targets (threshold -6.0 kcal/mol):</w:t>
        <w:br/>
        <w:br/>
        <w:t>SIRT1 (4ZZJ): Niclosamide -10.52, Imatinib -10.08, Ivermectin -9.96, Metformin -5.52</w:t>
        <w:br/>
        <w:t>mTOR (4JSN): Imatinib -8.13, Ivermectin -7.40, Niclosamide -6.75, Metformin -4.29</w:t>
        <w:br/>
        <w:t>AMPK (4CFH): Imatinib -8.80, Niclosamide -7.84, Ivermectin -7.86, Metformin -5.13</w:t>
        <w:br/>
        <w:t>BCL-2 (4LVT): Imatinib -7.26, Ivermectin -6.31, Niclosamide -6.23, Metformin -4.22</w:t>
        <w:br/>
        <w:t>p53 (2OCJ): Imatinib -8.23, Ivermectin -7.00, Niclosamide -6.53, Metformin -4.26</w:t>
        <w:br/>
        <w:br/>
        <w:t>Known SIRT1 activators benchmark: Fisetin -9.69, Quercetin -9.65, Resveratrol -9.30, Dasatinib -9.11, Rapamycin -5.25 (correctly low).</w:t>
        <w:br/>
        <w:br/>
        <w:t>Molecular dynamics simulation of the Niclosamide-SIRT1 complex (104,630 atoms) remained stable throughout the production run with final potential energy of -325,476.53 kcal/mol and no dissociation events.</w:t>
      </w:r>
    </w:p>
    <w:p>
      <w:pPr>
        <w:pStyle w:val="Heading1"/>
      </w:pPr>
      <w:r>
        <w:t>Discussion</w:t>
      </w:r>
    </w:p>
    <w:p>
      <w:r>
        <w:t>Niclosamide, a 60-year-old anthelmintic drug available at low cost, demonstrates the highest computational binding affinity to SIRT1 in our dataset, exceeding established SIRT1 activators including resveratrol and quercetin. Its known mTOR and AMPK activity confirmed in multiple published studies, combined with our novel SIRT1 docking result and MD stability, suggests a multi-pathway longevity mechanism. The convergence of computational and published in-vivo evidence (PMID 40274225: healthspan extension in aged mice) provides a strong rationale for experimental validation. Limitations include the short MD simulation duration and absence of experimental binding confirmation. All findings are hypothesis-generating and require wet-lab corroboration.</w:t>
      </w:r>
    </w:p>
    <w:p>
      <w:pPr>
        <w:pStyle w:val="Heading1"/>
      </w:pPr>
      <w:r>
        <w:t>Conclusions</w:t>
      </w:r>
    </w:p>
    <w:p>
      <w:r>
        <w:t>Niclosamide is a high-priority longevity repurposing candidate warranting in-vitro SIRT1 deacetylase activity assays, cellular senescence assays, C. elegans lifespan studies, and mouse healthspan validation with SIRT1 mechanistic readouts. The pipeline correctly ranked known SIRT1 activators and discriminated mTOR-selective compounds, demonstrating biological specificity. All code and data are freely available at github.com/StephenSalone/opencure under MIT license.</w:t>
      </w:r>
    </w:p>
    <w:p>
      <w:pPr>
        <w:pStyle w:val="Heading1"/>
      </w:pPr>
      <w:r>
        <w:t>References</w:t>
      </w:r>
    </w:p>
    <w:p>
      <w:r>
        <w:t>1. PMID 40274225 (2025). Niclosamide extends healthspan in aged mice via mTOR/autophagy pathway.</w:t>
      </w:r>
    </w:p>
    <w:p>
      <w:r>
        <w:t>2. Frontiers in Oncology (2022). The Magic Bullet: Niclosamide. doi:10.3389/fonc.2022.1004978</w:t>
      </w:r>
    </w:p>
    <w:p>
      <w:r>
        <w:t>3. Anticancer Research (2020). Niclosamide activates AMPK in lung cancer cells.</w:t>
      </w:r>
    </w:p>
    <w:p>
      <w:r>
        <w:t>4. Frontiers in Genetics (2024). SIRT1, resveratrol and aging. doi:10.3389/fgene.2024.1393181</w:t>
      </w:r>
    </w:p>
    <w:p>
      <w:r>
        <w:t>5. BIORXIV/2026/708812. OpenCure NTD computational screen.</w:t>
      </w:r>
    </w:p>
    <w:p>
      <w:r>
        <w:t>6. BIORXIV/2026/708857. Imatinib as pan-NTD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