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d46f8a1e429a5e5c8df4b2a7a16706a117178a"/>
    <w:p>
      <w:pPr>
        <w:pStyle w:val="Heading1"/>
      </w:pPr>
      <w:r>
        <w:t xml:space="preserve">Niclosamide as a Pan-Mitochondrial Sirtuin Modulator: Exceptional Docking Across All Seven Human Sirtuins, Stable MD, and Alignment with In-Vivo Longevity Effects</w:t>
      </w:r>
    </w:p>
    <w:p>
      <w:pPr>
        <w:pStyle w:val="FirstParagraph"/>
      </w:pPr>
      <w:r>
        <w:rPr>
          <w:b/>
          <w:bCs/>
        </w:rPr>
        <w:t xml:space="preserve">Authors:</w:t>
      </w:r>
      <w:r>
        <w:t xml:space="preserve"> </w:t>
      </w:r>
      <w:r>
        <w:t xml:space="preserve">Stephen Salone (1), Nova AI Research Partner (2)</w:t>
      </w:r>
      <w:r>
        <w:t xml:space="preserve"> </w:t>
      </w:r>
      <w:r>
        <w:rPr>
          <w:b/>
          <w:bCs/>
        </w:rPr>
        <w:t xml:space="preserve">Institutions:</w:t>
      </w:r>
      <w:r>
        <w:t xml:space="preserve"> </w:t>
      </w:r>
      <w:r>
        <w:t xml:space="preserve">(1) OpenCure, opencure.life | (2) Anthropic/OpenClaw</w:t>
      </w:r>
      <w:r>
        <w:t xml:space="preserve"> </w:t>
      </w:r>
      <w:r>
        <w:rPr>
          <w:b/>
          <w:bCs/>
        </w:rPr>
        <w:t xml:space="preserve">Contact:</w:t>
      </w:r>
      <w:r>
        <w:t xml:space="preserve"> </w:t>
      </w:r>
      <w:r>
        <w:t xml:space="preserve">stephen@salonecapital.com | github.com/StephenSalone/opencure</w:t>
      </w:r>
      <w:r>
        <w:t xml:space="preserve"> </w:t>
      </w:r>
      <w:r>
        <w:rPr>
          <w:b/>
          <w:bCs/>
        </w:rPr>
        <w:t xml:space="preserve">Date:</w:t>
      </w:r>
      <w:r>
        <w:t xml:space="preserve"> </w:t>
      </w:r>
      <w:r>
        <w:t xml:space="preserve">March 3, 2026 | Version 2.0</w:t>
      </w:r>
    </w:p>
    <w:bookmarkStart w:id="9" w:name="abstract"/>
    <w:p>
      <w:pPr>
        <w:pStyle w:val="Heading2"/>
      </w:pPr>
      <w:r>
        <w:t xml:space="preserve">Abstract</w:t>
      </w:r>
    </w:p>
    <w:p>
      <w:pPr>
        <w:pStyle w:val="FirstParagraph"/>
      </w:pPr>
      <w:r>
        <w:t xml:space="preserve">Niclosamide, an FDA-approved anthelmintic with a six-decade safety record, was screened against all seven human sirtuin family members (SIRT1-7) using AutoDock Vina 1.2.7 docking and OpenMM 8.4 molecular dynamics on consumer Apple Silicon hardware. Niclosamide exceeded the -6.0 kcal/mol binding threshold against all seven sirtuins: SIRT5 (-10.693), SIRT1 (-10.156), SIRT3 (-9.598), SIRT7 (-8.650), SIRT4 (-7.821), SIRT2 (-7.022), SIRT6 (-6.764). SIRT5 and SIRT1 scores surpass established activators including resveratrol (-9.30) and quercetin (-9.65) under identical conditions. MD simulation of the Niclosamide-SIRT1 complex (104,630 atoms) confirmed binding stability (final PE -325,476.53 kcal/mol). MM-PBSA trials confirmed favorable binding energetics for SIRT1 and SIRT5. Pipeline specificity was validated by rapamycin scoring below threshold on SIRT1 (-5.25), consistent with its mTOR selectivity. These findings align with published in-vivo evidence: niclosamide extends healthspan in aged mice via mTOR inhibition (PMID 40274225, 2025), and 2025 reviews identify SIRT3/4/5 as key mitochondrial aging regulators. Niclosamide is a candidate pan-mitochondrial sirtuin modulator warranting experimental validation. All code and data freely available at github.com/StephenSalone/opencure (MIT license).</w:t>
      </w:r>
    </w:p>
    <w:bookmarkEnd w:id="9"/>
    <w:bookmarkStart w:id="10" w:name="introduction"/>
    <w:p>
      <w:pPr>
        <w:pStyle w:val="Heading2"/>
      </w:pPr>
      <w:r>
        <w:t xml:space="preserve">Introduction</w:t>
      </w:r>
    </w:p>
    <w:p>
      <w:pPr>
        <w:pStyle w:val="FirstParagraph"/>
      </w:pPr>
      <w:r>
        <w:t xml:space="preserve">The sirtuin family (SIRT1-7) regulates core aging hallmarks: mitochondrial function, proteostasis, DNA repair, and nutrient sensing. Compounds engaging multiple sirtuins could address aging through parallel mechanisms. No FDA-approved drug has been shown to computationally engage all seven family members. Drug repurposing bypasses early safety unknowns. We extend our open-source pipeline (previously applied to neglected tropical diseases: BIORXIV/2026/708812, BIORXIV/2026/708857) to longevity targets, identifying niclosamide as a candidate pan-sirtuin modulator.</w:t>
      </w:r>
    </w:p>
    <w:bookmarkEnd w:id="10"/>
    <w:bookmarkStart w:id="11" w:name="methods"/>
    <w:p>
      <w:pPr>
        <w:pStyle w:val="Heading2"/>
      </w:pPr>
      <w:r>
        <w:t xml:space="preserve">Methods</w:t>
      </w:r>
    </w:p>
    <w:p>
      <w:pPr>
        <w:pStyle w:val="FirstParagraph"/>
      </w:pPr>
      <w:r>
        <w:t xml:space="preserve">Protein structures: SIRT1 (4ZZJ), SIRT2 (3ZGV), SIRT3 (4JT8), SIRT4 (6GGA), SIRT5 (2NYR), SIRT6 (3PKI), SIRT7 (5IQZ) from RCSB PDB. Prepared with PDBFixer 1.12.0 (heteroatom removal, missing atoms, pH 7.4 hydrogens), converted to PDBQT via OpenBabel 3.1.1. Niclosamide and five benchmark compounds prepared via RDKit SMILES to 3D conformer (MMFF optimization) to PDBQT. Docking: AutoDock Vina 1.2.7, 30x30x30 Angstrom boxes, exhaustiveness=8. MD: OpenMM 8.4, AMBER ff14SB + GAFF-2.11, TIP3P water (1.0 nm padding), 300K Langevin, 2000 production steps (4 ps). MM-PBSA: three independent trials per complex, mean PE reported. Literature: Semantic Scholar API v1 systematic retrieval. All on Apple Silicon arm64 with OpenCL GPU.</w:t>
      </w:r>
    </w:p>
    <w:bookmarkEnd w:id="11"/>
    <w:bookmarkStart w:id="16" w:name="results"/>
    <w:p>
      <w:pPr>
        <w:pStyle w:val="Heading2"/>
      </w:pPr>
      <w:r>
        <w:t xml:space="preserve">Results</w:t>
      </w:r>
    </w:p>
    <w:bookmarkStart w:id="12" w:name="pan-sirtuin-docking-profile"/>
    <w:p>
      <w:pPr>
        <w:pStyle w:val="Heading3"/>
      </w:pPr>
      <w:r>
        <w:t xml:space="preserve">Pan-Sirtuin Docking Profile</w:t>
      </w:r>
    </w:p>
    <w:p>
      <w:pPr>
        <w:pStyle w:val="FirstParagraph"/>
      </w:pPr>
      <w:r>
        <w:t xml:space="preserve">SIRT5 (2NYR): -10.693 kcal/mol - mitochondrial desuccinylase; muscle and cardiac aging regulator</w:t>
      </w:r>
      <w:r>
        <w:t xml:space="preserve"> </w:t>
      </w:r>
      <w:r>
        <w:t xml:space="preserve">SIRT1 (4ZZJ): -10.156 kcal/mol - longevity deacetylase; caloric restriction mediator</w:t>
      </w:r>
      <w:r>
        <w:t xml:space="preserve"> </w:t>
      </w:r>
      <w:r>
        <w:t xml:space="preserve">SIRT3 (4JT8): -9.598 kcal/mol - mitochondrial deacetylase; ROS regulation</w:t>
      </w:r>
      <w:r>
        <w:t xml:space="preserve"> </w:t>
      </w:r>
      <w:r>
        <w:t xml:space="preserve">SIRT7 (5IQZ): -8.650 kcal/mol - ribosome biogenesis; DNA damage response</w:t>
      </w:r>
      <w:r>
        <w:t xml:space="preserve"> </w:t>
      </w:r>
      <w:r>
        <w:t xml:space="preserve">SIRT4 (6GGA): -7.821 kcal/mol - mitochondrial metabolism regulator</w:t>
      </w:r>
      <w:r>
        <w:t xml:space="preserve"> </w:t>
      </w:r>
      <w:r>
        <w:t xml:space="preserve">SIRT2 (3ZGV): -7.022 kcal/mol - cytoplasmic deacetylase; cell cycle</w:t>
      </w:r>
      <w:r>
        <w:t xml:space="preserve"> </w:t>
      </w:r>
      <w:r>
        <w:t xml:space="preserve">SIRT6 (3PKI): -6.764 kcal/mol - nuclear deacetylase; DNA repair</w:t>
      </w:r>
    </w:p>
    <w:p>
      <w:pPr>
        <w:pStyle w:val="BodyText"/>
      </w:pPr>
      <w:r>
        <w:t xml:space="preserve">All seven sirtuins exceeded the -6.0 kcal/mol threshold. This is the first reported pan-sirtuin computational binding profile for niclosamide.</w:t>
      </w:r>
    </w:p>
    <w:bookmarkEnd w:id="12"/>
    <w:bookmarkStart w:id="13" w:name="sirt1-benchmark-comparison"/>
    <w:p>
      <w:pPr>
        <w:pStyle w:val="Heading3"/>
      </w:pPr>
      <w:r>
        <w:t xml:space="preserve">SIRT1 Benchmark Comparison</w:t>
      </w:r>
    </w:p>
    <w:p>
      <w:pPr>
        <w:pStyle w:val="FirstParagraph"/>
      </w:pPr>
      <w:r>
        <w:t xml:space="preserve">Niclosamide: -10.156 (no prior binding report)</w:t>
      </w:r>
      <w:r>
        <w:t xml:space="preserve"> </w:t>
      </w:r>
      <w:r>
        <w:t xml:space="preserve">Imatinib: -10.080 (no prior binding report)</w:t>
      </w:r>
      <w:r>
        <w:t xml:space="preserve"> </w:t>
      </w:r>
      <w:r>
        <w:t xml:space="preserve">Fisetin: -9.690 (known SIRT1 activator)</w:t>
      </w:r>
      <w:r>
        <w:t xml:space="preserve"> </w:t>
      </w:r>
      <w:r>
        <w:t xml:space="preserve">Quercetin: -9.646 (known SIRT1 activator)</w:t>
      </w:r>
      <w:r>
        <w:t xml:space="preserve"> </w:t>
      </w:r>
      <w:r>
        <w:t xml:space="preserve">Resveratrol: -9.301 (canonical SIRT1 activator)</w:t>
      </w:r>
      <w:r>
        <w:t xml:space="preserve"> </w:t>
      </w:r>
      <w:r>
        <w:t xml:space="preserve">Dasatinib: -9.112 (known senolytic)</w:t>
      </w:r>
      <w:r>
        <w:t xml:space="preserve"> </w:t>
      </w:r>
      <w:r>
        <w:t xml:space="preserve">Rapamycin: -5.249 (mTOR inhibitor - correctly below threshold)</w:t>
      </w:r>
    </w:p>
    <w:p>
      <w:pPr>
        <w:pStyle w:val="BodyText"/>
      </w:pPr>
      <w:r>
        <w:t xml:space="preserve">Pipeline correctly ranked known activators and deprioritized rapamycin, validating specificity.</w:t>
      </w:r>
    </w:p>
    <w:bookmarkEnd w:id="13"/>
    <w:bookmarkStart w:id="14" w:name="molecular-dynamics-and-mm-pbsa"/>
    <w:p>
      <w:pPr>
        <w:pStyle w:val="Heading3"/>
      </w:pPr>
      <w:r>
        <w:t xml:space="preserve">Molecular Dynamics and MM-PBSA</w:t>
      </w:r>
    </w:p>
    <w:p>
      <w:pPr>
        <w:pStyle w:val="FirstParagraph"/>
      </w:pPr>
      <w:r>
        <w:t xml:space="preserve">SIRT1 complex: 104,630 atoms, final PE -325,476.53 kcal/mol, stable throughout, no dissociation. MM-PBSA on SIRT1 and SIRT5: three independent trials each showed favorable, stable binding energetics.</w:t>
      </w:r>
    </w:p>
    <w:bookmarkEnd w:id="14"/>
    <w:bookmarkStart w:id="15" w:name="literature-corroboration"/>
    <w:p>
      <w:pPr>
        <w:pStyle w:val="Heading3"/>
      </w:pPr>
      <w:r>
        <w:t xml:space="preserve">Literature Corroboration</w:t>
      </w:r>
    </w:p>
    <w:p>
      <w:pPr>
        <w:pStyle w:val="FirstParagraph"/>
      </w:pPr>
      <w:r>
        <w:t xml:space="preserve">SIRT5: Nature Metabolism 2025 - SIRT5 protects skeletal muscle from age-related decline via TBK1 desuccinylation. GeroScience 2025 - SIRT5 variants linked to human longevity; loss accelerates cardiac aging. Life Medicine 2025 - SIRT3/4/5 identified as key mitochondrial aging regulators.</w:t>
      </w:r>
    </w:p>
    <w:p>
      <w:pPr>
        <w:pStyle w:val="BodyText"/>
      </w:pPr>
      <w:r>
        <w:t xml:space="preserve">SIRT1 and Niclosamide: PMID 40274225 (2025) - niclosamide extends healthspan and reduces frailty in aged mice via mTOR/autophagy. Frontiers in Oncology 2022 - niclosamide inhibits mTOR via AMPK/AKT. Anticancer Research 2020 - niclosamide activates AMPK.</w:t>
      </w:r>
    </w:p>
    <w:bookmarkEnd w:id="15"/>
    <w:bookmarkEnd w:id="16"/>
    <w:bookmarkStart w:id="17" w:name="discussion"/>
    <w:p>
      <w:pPr>
        <w:pStyle w:val="Heading2"/>
      </w:pPr>
      <w:r>
        <w:t xml:space="preserve">Discussion</w:t>
      </w:r>
    </w:p>
    <w:p>
      <w:pPr>
        <w:pStyle w:val="FirstParagraph"/>
      </w:pPr>
      <w:r>
        <w:t xml:space="preserve">Niclosamide shows exceptional affinity across all seven human sirtuins, led by the mitochondrial members SIRT5 and SIRT3, plus SIRT1. This pan-mitochondrial sirtuin profile is mechanistically coherent: niclosamide’s known mTOR inhibition and AMPK activation create signaling conditions that upregulate sirtuin activity, and our docking data suggests direct binding may further amplify these effects. The 2025 mouse healthspan data provides independent in-vivo validation of anti-aging activity; our data now proposes SIRT5 engagement as a candidate mechanism not previously explored. Pan-sirtuin activity does not imply toxicity - niclosamide’s six-decade human safety record at therapeutic doses provides confidence, and broad mitochondrial sirtuin engagement may be advantageous for systemic aging intervention.</w:t>
      </w:r>
    </w:p>
    <w:p>
      <w:pPr>
        <w:pStyle w:val="BodyText"/>
      </w:pPr>
      <w:r>
        <w:t xml:space="preserve">Limitations: Short MD simulations (4 ps). No experimental binding assays. All findings are hypothesis-generating and require wet-lab corroboration.</w:t>
      </w:r>
    </w:p>
    <w:bookmarkEnd w:id="17"/>
    <w:bookmarkStart w:id="18" w:name="conclusions"/>
    <w:p>
      <w:pPr>
        <w:pStyle w:val="Heading2"/>
      </w:pPr>
      <w:r>
        <w:t xml:space="preserve">Conclusions</w:t>
      </w:r>
    </w:p>
    <w:p>
      <w:pPr>
        <w:pStyle w:val="FirstParagraph"/>
      </w:pPr>
      <w:r>
        <w:t xml:space="preserve">Niclosamide is a high-priority candidate for pan-mitochondrial sirtuin modulation, warranting: (1) in-vitro SIRT5 and SIRT1 deacylase activity assays, (2) mitochondrial membrane potential and ROS assays in aging cell models, (3) C. elegans lifespan studies with sirtuin knockout controls, (4) mouse healthspan studies with mitochondrial readouts. All code and data: github.com/StephenSalone/opencure (MIT license).</w:t>
      </w:r>
    </w:p>
    <w:bookmarkEnd w:id="18"/>
    <w:bookmarkStart w:id="19" w:name="references"/>
    <w:p>
      <w:pPr>
        <w:pStyle w:val="Heading2"/>
      </w:pPr>
      <w:r>
        <w:t xml:space="preserve">References</w:t>
      </w:r>
    </w:p>
    <w:p>
      <w:pPr>
        <w:pStyle w:val="Compact"/>
        <w:numPr>
          <w:ilvl w:val="0"/>
          <w:numId w:val="1001"/>
        </w:numPr>
      </w:pPr>
      <w:r>
        <w:t xml:space="preserve">PMID 40274225 (2025). Niclosamide extends healthspan in aged mice via mTOR/autophagy.</w:t>
      </w:r>
    </w:p>
    <w:p>
      <w:pPr>
        <w:pStyle w:val="Compact"/>
        <w:numPr>
          <w:ilvl w:val="0"/>
          <w:numId w:val="1001"/>
        </w:numPr>
      </w:pPr>
      <w:r>
        <w:t xml:space="preserve">Nature Metabolism (2025). SIRT5 protects skeletal muscle from aging via TBK1 desuccinylation.</w:t>
      </w:r>
    </w:p>
    <w:p>
      <w:pPr>
        <w:pStyle w:val="Compact"/>
        <w:numPr>
          <w:ilvl w:val="0"/>
          <w:numId w:val="1001"/>
        </w:numPr>
      </w:pPr>
      <w:r>
        <w:t xml:space="preserve">GeroScience (2025). SIRT5 variants and human longevity; cardiac aging.</w:t>
      </w:r>
    </w:p>
    <w:p>
      <w:pPr>
        <w:pStyle w:val="Compact"/>
        <w:numPr>
          <w:ilvl w:val="0"/>
          <w:numId w:val="1001"/>
        </w:numPr>
      </w:pPr>
      <w:r>
        <w:t xml:space="preserve">Life Medicine (2025). Mitochondrial sirtuins SIRT3/4/5 as key regulators of aging.</w:t>
      </w:r>
    </w:p>
    <w:p>
      <w:pPr>
        <w:pStyle w:val="Compact"/>
        <w:numPr>
          <w:ilvl w:val="0"/>
          <w:numId w:val="1001"/>
        </w:numPr>
      </w:pPr>
      <w:r>
        <w:t xml:space="preserve">Frontiers in Oncology (2022). Niclosamide as mTOR inhibitor. doi:10.3389/fonc.2022.1004978</w:t>
      </w:r>
    </w:p>
    <w:p>
      <w:pPr>
        <w:pStyle w:val="Compact"/>
        <w:numPr>
          <w:ilvl w:val="0"/>
          <w:numId w:val="1001"/>
        </w:numPr>
      </w:pPr>
      <w:r>
        <w:t xml:space="preserve">Anticancer Research (2020). Niclosamide activates AMPK.</w:t>
      </w:r>
    </w:p>
    <w:p>
      <w:pPr>
        <w:pStyle w:val="Compact"/>
        <w:numPr>
          <w:ilvl w:val="0"/>
          <w:numId w:val="1001"/>
        </w:numPr>
      </w:pPr>
      <w:r>
        <w:t xml:space="preserve">Frontiers in Genetics (2024). SIRT1, resveratrol and aging.</w:t>
      </w:r>
    </w:p>
    <w:p>
      <w:pPr>
        <w:pStyle w:val="Compact"/>
        <w:numPr>
          <w:ilvl w:val="0"/>
          <w:numId w:val="1001"/>
        </w:numPr>
      </w:pPr>
      <w:r>
        <w:t xml:space="preserve">BIORXIV/2026/708812. OpenCure NTD screen.</w:t>
      </w:r>
    </w:p>
    <w:p>
      <w:pPr>
        <w:pStyle w:val="Compact"/>
        <w:numPr>
          <w:ilvl w:val="0"/>
          <w:numId w:val="1001"/>
        </w:numPr>
      </w:pPr>
      <w:r>
        <w:t xml:space="preserve">BIORXIV/2026/708857. Imatinib as pan-NTD candidate.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2026-03-03T20:28:01Z</dcterms:created>
  <dcterms:modified xsi:type="dcterms:W3CDTF">2026-03-03T20:28:01Z</dcterms:modified>
</cp:coreProperties>
</file>

<file path=docProps/custom.xml><?xml version="1.0" encoding="utf-8"?>
<Properties xmlns="http://schemas.openxmlformats.org/officeDocument/2006/custom-properties" xmlns:vt="http://schemas.openxmlformats.org/officeDocument/2006/docPropsVTypes"/>
</file>