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Page Number: 1</w:t>
      </w:r>
    </w:p>
    <w:p>
      <w:r>
        <w:t>Field Content: Client: E.ON SE</w:t>
        <w:br/>
        <w:t>Project: P2024053 "Groupwide Re-assessment for HSE Maturity – HSE Quick Checks 2.0"</w:t>
        <w:br/>
        <w:t>Consultant: b.core consulting GmbH</w:t>
        <w:br/>
        <w:t>Contact Person: David Faustmann, Managing Director, b.core consulting GmbH</w:t>
      </w:r>
    </w:p>
    <w:p>
      <w:r>
        <w:br w:type="page"/>
      </w:r>
    </w:p>
    <w:p>
      <w:pPr>
        <w:pStyle w:val="Heading1"/>
      </w:pPr>
      <w:r>
        <w:t>Our Understanding of Your Situation</w:t>
      </w:r>
    </w:p>
    <w:p>
      <w:r>
        <w:t>Page Number: 2</w:t>
      </w:r>
    </w:p>
    <w:p>
      <w:r>
        <w:t>Field Content: E.ON SE is committed to continuously improving its occupational safety performance and aims to develop a sustainable safety culture across its various units. Following the initial HSE Quick Checks 1.0, E.ON seeks to further evaluate and enhance its HSE maturity, using the Bradley Curve and a set of 13 safety cultural elements as benchmarks.</w:t>
      </w:r>
    </w:p>
    <w:p>
      <w:r>
        <w:br w:type="page"/>
      </w:r>
    </w:p>
    <w:p>
      <w:pPr>
        <w:pStyle w:val="Heading1"/>
      </w:pPr>
      <w:r>
        <w:t>Our Solution and Risk Mitigation Approach</w:t>
      </w:r>
    </w:p>
    <w:p>
      <w:r>
        <w:t>Page Number: 3</w:t>
      </w:r>
    </w:p>
    <w:p>
      <w:r>
        <w:t>Field Content: Project Phases:</w:t>
        <w:br/>
        <w:t>1. Kick-Off and Data Analysis</w:t>
        <w:br/>
        <w:t xml:space="preserve"> - Collect and assess historical HSE data and outcomes from Quick Check 1.0.</w:t>
        <w:br/>
        <w:t xml:space="preserve"> - Identify specific KPIs for targeted improvement strategies.</w:t>
        <w:br/>
        <w:t xml:space="preserve"> - Validate current KPIs to represent E.ON's safety culture accurately.</w:t>
        <w:br/>
        <w:t>2. Heat Map Risks</w:t>
        <w:br/>
        <w:t xml:space="preserve"> - Perform on-site visits to update risk profiles.</w:t>
        <w:br/>
        <w:t xml:space="preserve"> - Engage with on-site personnel to collect information on safety practices, incidents, and near-misses.</w:t>
        <w:br/>
        <w:t xml:space="preserve"> - Create a detailed risk heat map to track safety performance and risk evolution.</w:t>
        <w:br/>
        <w:t>3. Leadership &amp; HSE Capabilities</w:t>
        <w:br/>
        <w:t xml:space="preserve"> - Evaluate leadership safety routines and adherence to safety protocols.</w:t>
        <w:br/>
        <w:t xml:space="preserve"> - Conduct interviews to gauge the effectiveness of existing leadership routines.</w:t>
        <w:br/>
        <w:t xml:space="preserve"> - Assess contractor management strategies to ensure alignment with E.ON’s HSE standards.</w:t>
        <w:br/>
        <w:t>4. Cultural Maturity</w:t>
        <w:br/>
        <w:t xml:space="preserve"> - Develop and validate comprehensive questionnaires in collaboration with E.ON’s workers' council.</w:t>
        <w:br/>
        <w:t xml:space="preserve"> - Execute a company-wide online survey to gauge employees' perceptions of safety practices and culture.</w:t>
        <w:br/>
        <w:t xml:space="preserve"> - Analyze survey data to create detailed cultural maturity profiles.</w:t>
        <w:br/>
        <w:t>5. Reporting and Usability</w:t>
        <w:br/>
        <w:t xml:space="preserve"> - Integrate findings from all phases into coherent reports.</w:t>
        <w:br/>
        <w:t xml:space="preserve"> - Conduct action planning workshops per unit.</w:t>
        <w:br/>
        <w:t xml:space="preserve"> - Compile a consolidated E.ON Group Report with a comprehensive view of all project phases and their interconnections.</w:t>
      </w:r>
    </w:p>
    <w:p>
      <w:r>
        <w:br w:type="page"/>
      </w:r>
    </w:p>
    <w:p>
      <w:pPr>
        <w:pStyle w:val="Heading1"/>
      </w:pPr>
      <w:r>
        <w:t>Deliverables</w:t>
      </w:r>
    </w:p>
    <w:p>
      <w:r>
        <w:t>Page Number: 4</w:t>
      </w:r>
    </w:p>
    <w:p>
      <w:r>
        <w:t>Field Content: 1. Kick-Off and Data Analysis</w:t>
        <w:br/>
        <w:t xml:space="preserve"> - Detailed report summarizing the analysis of existing data.</w:t>
        <w:br/>
        <w:t xml:space="preserve"> - Dashboard of HSE KPIs.</w:t>
        <w:br/>
        <w:t xml:space="preserve"> - Project roadmap outlining subsequent phases.</w:t>
        <w:br/>
        <w:t>2. Heat Map Risks</w:t>
        <w:br/>
        <w:t xml:space="preserve"> - Updated risk heat map.</w:t>
        <w:br/>
        <w:t xml:space="preserve"> - Comprehensive risk reports for each unit.</w:t>
        <w:br/>
        <w:t>3. Leadership &amp; HSE Capabilities</w:t>
        <w:br/>
        <w:t xml:space="preserve"> - Detailed assessment reports on leadership and HSE capabilities.</w:t>
        <w:br/>
        <w:t xml:space="preserve"> - Evaluations of compliance to safety rules.</w:t>
        <w:br/>
        <w:t xml:space="preserve"> - Analysis of contractor management effectiveness.</w:t>
        <w:br/>
        <w:t>4. Cultural Maturity</w:t>
        <w:br/>
        <w:t xml:space="preserve"> - Cultural Maturity Reports for each unit.</w:t>
        <w:br/>
        <w:t xml:space="preserve"> - Recommendations for targeted interventions.</w:t>
        <w:br/>
        <w:t>5. Reporting and Usability</w:t>
        <w:br/>
        <w:t xml:space="preserve"> - Unit-specific reports.</w:t>
        <w:br/>
        <w:t xml:space="preserve"> - Action planning workshop outputs.</w:t>
        <w:br/>
        <w:t xml:space="preserve"> - Consolidated E.ON Group Report with a group-wide heat map and comparative analysis.</w:t>
      </w:r>
    </w:p>
    <w:p>
      <w:r>
        <w:br w:type="page"/>
      </w:r>
    </w:p>
    <w:p>
      <w:pPr>
        <w:pStyle w:val="Heading1"/>
      </w:pPr>
      <w:r>
        <w:t>Program Setup and Team</w:t>
      </w:r>
    </w:p>
    <w:p>
      <w:r>
        <w:t>Page Number: 5</w:t>
      </w:r>
    </w:p>
    <w:p>
      <w:r>
        <w:t>Field Content: Program Management:</w:t>
        <w:br/>
        <w:t xml:space="preserve"> - Project Responsible/PM: David Faustmann</w:t>
        <w:br/>
        <w:t xml:space="preserve"> - Deputy PM: Christopher Spalek</w:t>
        <w:br/>
        <w:t xml:space="preserve"> - Local Consultants: Experts assigned to each country as per project requirements.</w:t>
        <w:br/>
        <w:t>Project Timeline:</w:t>
        <w:br/>
        <w:t xml:space="preserve"> - Duration: 18 months</w:t>
        <w:br/>
        <w:t xml:space="preserve"> - Start Date: Q3 2024</w:t>
        <w:br/>
        <w:t>Locations Covered:</w:t>
        <w:br/>
        <w:t xml:space="preserve"> - 25 units across 12 countries including The Netherlands, Croatia, United Kingdom, Hungary, Turkey, Poland, Slovakia, Czech Republic, Romania, Italy, Sweden, and Germany.</w:t>
      </w:r>
    </w:p>
    <w:p>
      <w:r>
        <w:br w:type="page"/>
      </w:r>
    </w:p>
    <w:p>
      <w:pPr>
        <w:pStyle w:val="Heading1"/>
      </w:pPr>
      <w:r>
        <w:t>Commercial Aspects</w:t>
      </w:r>
    </w:p>
    <w:p>
      <w:r>
        <w:t>Page Number: 6</w:t>
      </w:r>
    </w:p>
    <w:p>
      <w:r>
        <w:t>Field Content: Option 1: EUR 35,055 per participating unit (excl. travel costs)</w:t>
        <w:br/>
        <w:t>Option 2: EUR 30,210 per participating unit (excl. travel costs)</w:t>
        <w:br/>
        <w:t>Payment Terms:</w:t>
        <w:br/>
        <w:t xml:space="preserve"> - 45 days until the end of a given month (45 EOM) - net, due on the 5th of a month.</w:t>
        <w:br/>
        <w:t xml:space="preserve"> - 15 days until the end of a given month (15 EOM) less 2% cash discount, due on the 5th of a month.</w:t>
        <w:br/>
        <w:t xml:space="preserve"> - Due 15 days from invoice entry date less 3% cash discount.</w:t>
        <w:br/>
        <w:t>Additional Costs:</w:t>
        <w:br/>
        <w:t xml:space="preserve"> - All associated travel and accommodation costs.</w:t>
      </w:r>
    </w:p>
    <w:p>
      <w:r>
        <w:br w:type="page"/>
      </w:r>
    </w:p>
    <w:p>
      <w:pPr>
        <w:pStyle w:val="Heading1"/>
      </w:pPr>
      <w:r>
        <w:t>References and CVs</w:t>
      </w:r>
    </w:p>
    <w:p>
      <w:r>
        <w:t>Page Number: 7</w:t>
      </w:r>
    </w:p>
    <w:p>
      <w:r>
        <w:t>Field Content: References:</w:t>
        <w:br/>
        <w:t>Detailed references and CVs of the consultants will be provided upon request.</w:t>
      </w:r>
    </w:p>
    <w:p>
      <w:r>
        <w:br w:type="page"/>
      </w:r>
    </w:p>
    <w:p>
      <w:pPr>
        <w:pStyle w:val="Heading1"/>
      </w:pPr>
      <w:r>
        <w:t>Contact Information</w:t>
      </w:r>
    </w:p>
    <w:p>
      <w:r>
        <w:t>Page Number: 8</w:t>
      </w:r>
    </w:p>
    <w:p>
      <w:r>
        <w:t>Field Content: Project Inquiries:</w:t>
        <w:br/>
        <w:t xml:space="preserve"> - David Faustmann</w:t>
        <w:br/>
        <w:t>Managing Director</w:t>
        <w:br/>
        <w:t>Email: faustmann@bcoreconsult.com</w:t>
        <w:br/>
        <w:t>Phone: +49 176 5672 3637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