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jc w:val="center"/>
      </w:pPr>
      <w:r>
        <w:t>KỊCH BẢN GAMEPLAY DEMO BẢO VỆ CAPSTONE</w:t>
      </w:r>
    </w:p>
    <w:p>
      <w:pPr>
        <w:pStyle w:val="Subtitle"/>
        <w:jc w:val="center"/>
      </w:pPr>
      <w:r>
        <w:t>Run-of-show 12–15 phút • thao tác, lời thuyết minh và phương án dự phòng</w:t>
      </w:r>
    </w:p>
    <w:p>
      <w:pPr>
        <w:jc w:val="center"/>
      </w:pPr>
      <w:r>
        <w:rPr>
          <w:color w:val="667085"/>
        </w:rPr>
        <w:t>NihongoLife • Quách Thành Long • VTC Academy • 10/10/2026</w:t>
      </w:r>
    </w:p>
    <w:p>
      <w:r>
        <w:br w:type="page"/>
      </w:r>
    </w:p>
    <w:p>
      <w:pPr>
        <w:pStyle w:val="Heading1"/>
      </w:pPr>
      <w:r>
        <w:t>1. Mục tiêu buổi demo</w:t>
      </w:r>
    </w:p>
    <w:p>
      <w:r>
        <w:t>Chứng minh một vòng chơi hoàn chỉnh và ba luận điểm: (1) ngôn ngữ gắn với bối cảnh; (2) hệ thống progression/economy nối các hoạt động; (3) kiến trúc data-driven cho phép mở rộng từ thành phố sang Midori và khảo thí mà vẫn dùng chung save/service.</w:t>
      </w:r>
    </w:p>
    <w:p>
      <w:pPr>
        <w:pStyle w:val="Heading1"/>
      </w:pPr>
      <w:r>
        <w:t>2. Chuẩn bị trước khi bảo vệ</w:t>
      </w:r>
    </w:p>
    <w:p>
      <w:pPr>
        <w:pStyle w:val="ListBullet"/>
        <w:ind w:left="397"/>
      </w:pPr>
      <w:r>
        <w:t>Dùng một bản save demo cố định: đủ Yen mua vé/hạt, có bình tưới, inventory còn ô trống, chưa nhận ca Midori.</w:t>
      </w:r>
    </w:p>
    <w:p>
      <w:pPr>
        <w:pStyle w:val="ListBullet"/>
        <w:ind w:left="397"/>
      </w:pPr>
      <w:r>
        <w:t>Mở game từ 00_Bootstrap, kiểm tra scene 60_MidoriIsland trong Build Settings, âm lượng và độ phân giải 1920×1080.</w:t>
      </w:r>
    </w:p>
    <w:p>
      <w:pPr>
        <w:pStyle w:val="ListBullet"/>
        <w:ind w:left="397"/>
      </w:pPr>
      <w:r>
        <w:t>Tắt/ẩn dữ liệu Cambridge nếu máy trình chiếu không có quyền; dùng đề rút gọn tự soạn.</w:t>
      </w:r>
    </w:p>
    <w:p>
      <w:pPr>
        <w:pStyle w:val="ListBullet"/>
        <w:ind w:left="397"/>
      </w:pPr>
      <w:r>
        <w:t>Chuẩn bị video dự phòng 3–5 phút cho: tàu, farming, việc làm, IELTS; không phụ thuộc Supabase/Agora trực tiếp.</w:t>
      </w:r>
    </w:p>
    <w:p>
      <w:pPr>
        <w:pStyle w:val="ListBullet"/>
        <w:ind w:left="397"/>
      </w:pPr>
      <w:r>
        <w:t>Đóng ứng dụng nền và khóa thông báo; kiểm tra chuột Ctrl, ESC, N, P, F, Tab, K.</w:t>
      </w:r>
    </w:p>
    <w:p>
      <w:pPr>
        <w:pStyle w:val="Heading1"/>
      </w:pPr>
      <w:r>
        <w:t>3. Run-of-show</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c>
          <w:tcPr>
            <w:tcW w:type="dxa" w:w="1191"/>
            <w:shd w:fill="17365D"/>
            <w:tcMar>
              <w:top w:w="80" w:type="dxa"/>
              <w:start w:w="110" w:type="dxa"/>
              <w:bottom w:w="80" w:type="dxa"/>
              <w:end w:w="110" w:type="dxa"/>
            </w:tcMar>
            <w:vAlign w:val="center"/>
          </w:tcPr>
          <w:p>
            <w:r>
              <w:rPr>
                <w:b/>
                <w:color w:val="FFFFFF"/>
                <w:sz w:val="18"/>
              </w:rPr>
              <w:t>Thời lượng</w:t>
            </w:r>
          </w:p>
        </w:tc>
        <w:tc>
          <w:tcPr>
            <w:tcW w:type="dxa" w:w="2551"/>
            <w:shd w:fill="17365D"/>
            <w:tcMar>
              <w:top w:w="80" w:type="dxa"/>
              <w:start w:w="110" w:type="dxa"/>
              <w:bottom w:w="80" w:type="dxa"/>
              <w:end w:w="110" w:type="dxa"/>
            </w:tcMar>
            <w:vAlign w:val="center"/>
          </w:tcPr>
          <w:p>
            <w:r>
              <w:rPr>
                <w:b/>
                <w:color w:val="FFFFFF"/>
                <w:sz w:val="18"/>
              </w:rPr>
              <w:t>Thao tác</w:t>
            </w:r>
          </w:p>
        </w:tc>
        <w:tc>
          <w:tcPr>
            <w:tcW w:type="dxa" w:w="4082"/>
            <w:shd w:fill="17365D"/>
            <w:tcMar>
              <w:top w:w="80" w:type="dxa"/>
              <w:start w:w="110" w:type="dxa"/>
              <w:bottom w:w="80" w:type="dxa"/>
              <w:end w:w="110" w:type="dxa"/>
            </w:tcMar>
            <w:vAlign w:val="center"/>
          </w:tcPr>
          <w:p>
            <w:r>
              <w:rPr>
                <w:b/>
                <w:color w:val="FFFFFF"/>
                <w:sz w:val="18"/>
              </w:rPr>
              <w:t>Lời thuyết minh chính</w:t>
            </w:r>
          </w:p>
        </w:tc>
        <w:tc>
          <w:tcPr>
            <w:tcW w:type="dxa" w:w="1814"/>
            <w:shd w:fill="17365D"/>
            <w:tcMar>
              <w:top w:w="80" w:type="dxa"/>
              <w:start w:w="110" w:type="dxa"/>
              <w:bottom w:w="80" w:type="dxa"/>
              <w:end w:w="110" w:type="dxa"/>
            </w:tcMar>
            <w:vAlign w:val="center"/>
          </w:tcPr>
          <w:p>
            <w:r>
              <w:rPr>
                <w:b/>
                <w:color w:val="FFFFFF"/>
                <w:sz w:val="18"/>
              </w:rPr>
              <w:t>Fallback</w:t>
            </w:r>
          </w:p>
        </w:tc>
      </w:tr>
      <w:tr>
        <w:tc>
          <w:tcPr>
            <w:tcW w:type="dxa" w:w="1191"/>
            <w:tcMar>
              <w:top w:w="80" w:type="dxa"/>
              <w:start w:w="110" w:type="dxa"/>
              <w:bottom w:w="80" w:type="dxa"/>
              <w:end w:w="110" w:type="dxa"/>
            </w:tcMar>
            <w:vAlign w:val="center"/>
          </w:tcPr>
          <w:p>
            <w:pPr>
              <w:spacing w:after="20" w:line="240" w:lineRule="auto"/>
            </w:pPr>
            <w:r>
              <w:rPr>
                <w:sz w:val="17"/>
              </w:rPr>
              <w:t>00:00–00:45</w:t>
            </w:r>
          </w:p>
        </w:tc>
        <w:tc>
          <w:tcPr>
            <w:tcW w:type="dxa" w:w="2551"/>
            <w:tcMar>
              <w:top w:w="80" w:type="dxa"/>
              <w:start w:w="110" w:type="dxa"/>
              <w:bottom w:w="80" w:type="dxa"/>
              <w:end w:w="110" w:type="dxa"/>
            </w:tcMar>
            <w:vAlign w:val="center"/>
          </w:tcPr>
          <w:p>
            <w:pPr>
              <w:spacing w:after="20" w:line="240" w:lineRule="auto"/>
            </w:pPr>
            <w:r>
              <w:rPr>
                <w:sz w:val="17"/>
              </w:rPr>
              <w:t>Menu → chọn nhân vật → vào Hibari</w:t>
            </w:r>
          </w:p>
        </w:tc>
        <w:tc>
          <w:tcPr>
            <w:tcW w:type="dxa" w:w="4082"/>
            <w:tcMar>
              <w:top w:w="80" w:type="dxa"/>
              <w:start w:w="110" w:type="dxa"/>
              <w:bottom w:w="80" w:type="dxa"/>
              <w:end w:w="110" w:type="dxa"/>
            </w:tcMar>
            <w:vAlign w:val="center"/>
          </w:tcPr>
          <w:p>
            <w:pPr>
              <w:spacing w:after="20" w:line="240" w:lineRule="auto"/>
            </w:pPr>
            <w:r>
              <w:rPr>
                <w:sz w:val="17"/>
              </w:rPr>
              <w:t>“NihongoLife là life-sim giáo dục. Vòng cốt lõi không cần mạng; cloud là lớp tăng cường.”</w:t>
            </w:r>
          </w:p>
        </w:tc>
        <w:tc>
          <w:tcPr>
            <w:tcW w:type="dxa" w:w="1814"/>
            <w:tcMar>
              <w:top w:w="80" w:type="dxa"/>
              <w:start w:w="110" w:type="dxa"/>
              <w:bottom w:w="80" w:type="dxa"/>
              <w:end w:w="110" w:type="dxa"/>
            </w:tcMar>
            <w:vAlign w:val="center"/>
          </w:tcPr>
          <w:p>
            <w:pPr>
              <w:spacing w:after="20" w:line="240" w:lineRule="auto"/>
            </w:pPr>
            <w:r>
              <w:rPr>
                <w:sz w:val="17"/>
              </w:rPr>
              <w:t>Nếu load chậm: nói về Bootstrap/GameServices trong lúc chờ.</w:t>
            </w:r>
          </w:p>
        </w:tc>
      </w:tr>
      <w:tr>
        <w:tc>
          <w:tcPr>
            <w:tcW w:type="dxa" w:w="1191"/>
            <w:tcMar>
              <w:top w:w="80" w:type="dxa"/>
              <w:start w:w="110" w:type="dxa"/>
              <w:bottom w:w="80" w:type="dxa"/>
              <w:end w:w="110" w:type="dxa"/>
            </w:tcMar>
            <w:vAlign w:val="center"/>
            <w:shd w:fill="F4F6F9"/>
          </w:tcPr>
          <w:p>
            <w:pPr>
              <w:spacing w:after="20" w:line="240" w:lineRule="auto"/>
            </w:pPr>
            <w:r>
              <w:rPr>
                <w:sz w:val="17"/>
              </w:rPr>
              <w:t>00:45–02:00</w:t>
            </w:r>
          </w:p>
        </w:tc>
        <w:tc>
          <w:tcPr>
            <w:tcW w:type="dxa" w:w="2551"/>
            <w:tcMar>
              <w:top w:w="80" w:type="dxa"/>
              <w:start w:w="110" w:type="dxa"/>
              <w:bottom w:w="80" w:type="dxa"/>
              <w:end w:w="110" w:type="dxa"/>
            </w:tcMar>
            <w:vAlign w:val="center"/>
            <w:shd w:fill="F4F6F9"/>
          </w:tcPr>
          <w:p>
            <w:pPr>
              <w:spacing w:after="20" w:line="240" w:lineRule="auto"/>
            </w:pPr>
            <w:r>
              <w:rPr>
                <w:sz w:val="17"/>
              </w:rPr>
              <w:t>Đi tới NPC, mở hội thoại, chọn một đáp án chưa phù hợp rồi chọn lại</w:t>
            </w:r>
          </w:p>
        </w:tc>
        <w:tc>
          <w:tcPr>
            <w:tcW w:type="dxa" w:w="4082"/>
            <w:tcMar>
              <w:top w:w="80" w:type="dxa"/>
              <w:start w:w="110" w:type="dxa"/>
              <w:bottom w:w="80" w:type="dxa"/>
              <w:end w:w="110" w:type="dxa"/>
            </w:tcMar>
            <w:vAlign w:val="center"/>
            <w:shd w:fill="F4F6F9"/>
          </w:tcPr>
          <w:p>
            <w:pPr>
              <w:spacing w:after="20" w:line="240" w:lineRule="auto"/>
            </w:pPr>
            <w:r>
              <w:rPr>
                <w:sz w:val="17"/>
              </w:rPr>
              <w:t>“Sai không kết thúc nhiệm vụ. NPC giải thích mức lịch sự và cho cơ hội phục hồi; điểm kỹ năng ghi riêng.”</w:t>
            </w:r>
          </w:p>
        </w:tc>
        <w:tc>
          <w:tcPr>
            <w:tcW w:type="dxa" w:w="1814"/>
            <w:tcMar>
              <w:top w:w="80" w:type="dxa"/>
              <w:start w:w="110" w:type="dxa"/>
              <w:bottom w:w="80" w:type="dxa"/>
              <w:end w:w="110" w:type="dxa"/>
            </w:tcMar>
            <w:vAlign w:val="center"/>
            <w:shd w:fill="F4F6F9"/>
          </w:tcPr>
          <w:p>
            <w:pPr>
              <w:spacing w:after="20" w:line="240" w:lineRule="auto"/>
            </w:pPr>
            <w:r>
              <w:rPr>
                <w:sz w:val="17"/>
              </w:rPr>
              <w:t>Nếu hội thoại đang suspend: nhấn R rồi tiếp tục.</w:t>
            </w:r>
          </w:p>
        </w:tc>
      </w:tr>
      <w:tr>
        <w:tc>
          <w:tcPr>
            <w:tcW w:type="dxa" w:w="1191"/>
            <w:tcMar>
              <w:top w:w="80" w:type="dxa"/>
              <w:start w:w="110" w:type="dxa"/>
              <w:bottom w:w="80" w:type="dxa"/>
              <w:end w:w="110" w:type="dxa"/>
            </w:tcMar>
            <w:vAlign w:val="center"/>
          </w:tcPr>
          <w:p>
            <w:pPr>
              <w:spacing w:after="20" w:line="240" w:lineRule="auto"/>
            </w:pPr>
            <w:r>
              <w:rPr>
                <w:sz w:val="17"/>
              </w:rPr>
              <w:t>02:00–03:00</w:t>
            </w:r>
          </w:p>
        </w:tc>
        <w:tc>
          <w:tcPr>
            <w:tcW w:type="dxa" w:w="2551"/>
            <w:tcMar>
              <w:top w:w="80" w:type="dxa"/>
              <w:start w:w="110" w:type="dxa"/>
              <w:bottom w:w="80" w:type="dxa"/>
              <w:end w:w="110" w:type="dxa"/>
            </w:tcMar>
            <w:vAlign w:val="center"/>
          </w:tcPr>
          <w:p>
            <w:pPr>
              <w:spacing w:after="20" w:line="240" w:lineRule="auto"/>
            </w:pPr>
            <w:r>
              <w:rPr>
                <w:sz w:val="17"/>
              </w:rPr>
              <w:t>Mở N: Task Journal; chọn việc konbini; chỉ HUD mục tiêu</w:t>
            </w:r>
          </w:p>
        </w:tc>
        <w:tc>
          <w:tcPr>
            <w:tcW w:type="dxa" w:w="4082"/>
            <w:tcMar>
              <w:top w:w="80" w:type="dxa"/>
              <w:start w:w="110" w:type="dxa"/>
              <w:bottom w:w="80" w:type="dxa"/>
              <w:end w:w="110" w:type="dxa"/>
            </w:tcMar>
            <w:vAlign w:val="center"/>
          </w:tcPr>
          <w:p>
            <w:pPr>
              <w:spacing w:after="20" w:line="240" w:lineRule="auto"/>
            </w:pPr>
            <w:r>
              <w:rPr>
                <w:sz w:val="17"/>
              </w:rPr>
              <w:t>“Một sổ thống nhất cốt truyện, việc làm, nông trại, học tập và hằng ngày. Dữ liệu lấy từ progression.json.”</w:t>
            </w:r>
          </w:p>
        </w:tc>
        <w:tc>
          <w:tcPr>
            <w:tcW w:type="dxa" w:w="1814"/>
            <w:tcMar>
              <w:top w:w="80" w:type="dxa"/>
              <w:start w:w="110" w:type="dxa"/>
              <w:bottom w:w="80" w:type="dxa"/>
              <w:end w:w="110" w:type="dxa"/>
            </w:tcMar>
            <w:vAlign w:val="center"/>
          </w:tcPr>
          <w:p>
            <w:pPr>
              <w:spacing w:after="20" w:line="240" w:lineRule="auto"/>
            </w:pPr>
            <w:r>
              <w:rPr>
                <w:sz w:val="17"/>
              </w:rPr>
              <w:t>Không cuộn toàn bộ; chỉ mở một nhiệm vụ.</w:t>
            </w:r>
          </w:p>
        </w:tc>
      </w:tr>
      <w:tr>
        <w:tc>
          <w:tcPr>
            <w:tcW w:type="dxa" w:w="1191"/>
            <w:tcMar>
              <w:top w:w="80" w:type="dxa"/>
              <w:start w:w="110" w:type="dxa"/>
              <w:bottom w:w="80" w:type="dxa"/>
              <w:end w:w="110" w:type="dxa"/>
            </w:tcMar>
            <w:vAlign w:val="center"/>
            <w:shd w:fill="F4F6F9"/>
          </w:tcPr>
          <w:p>
            <w:pPr>
              <w:spacing w:after="20" w:line="240" w:lineRule="auto"/>
            </w:pPr>
            <w:r>
              <w:rPr>
                <w:sz w:val="17"/>
              </w:rPr>
              <w:t>03:00–04:20</w:t>
            </w:r>
          </w:p>
        </w:tc>
        <w:tc>
          <w:tcPr>
            <w:tcW w:type="dxa" w:w="2551"/>
            <w:tcMar>
              <w:top w:w="80" w:type="dxa"/>
              <w:start w:w="110" w:type="dxa"/>
              <w:bottom w:w="80" w:type="dxa"/>
              <w:end w:w="110" w:type="dxa"/>
            </w:tcMar>
            <w:vAlign w:val="center"/>
            <w:shd w:fill="F4F6F9"/>
          </w:tcPr>
          <w:p>
            <w:pPr>
              <w:spacing w:after="20" w:line="240" w:lineRule="auto"/>
            </w:pPr>
            <w:r>
              <w:rPr>
                <w:sz w:val="17"/>
              </w:rPr>
              <w:t>Demo 2–3 bước ca konbini: bê thùng/xếp kệ/câu hỏi khách; chỉ phần thưởng ¥600</w:t>
            </w:r>
          </w:p>
        </w:tc>
        <w:tc>
          <w:tcPr>
            <w:tcW w:type="dxa" w:w="4082"/>
            <w:tcMar>
              <w:top w:w="80" w:type="dxa"/>
              <w:start w:w="110" w:type="dxa"/>
              <w:bottom w:w="80" w:type="dxa"/>
              <w:end w:w="110" w:type="dxa"/>
            </w:tcMar>
            <w:vAlign w:val="center"/>
            <w:shd w:fill="F4F6F9"/>
          </w:tcPr>
          <w:p>
            <w:pPr>
              <w:spacing w:after="20" w:line="240" w:lineRule="auto"/>
            </w:pPr>
            <w:r>
              <w:rPr>
                <w:sz w:val="17"/>
              </w:rPr>
              <w:t>“Lương không đến từ một nút bấm. Ca làm có bước, câu hỏi, điều kiện đúng và chỉ trả một lần.”</w:t>
            </w:r>
          </w:p>
        </w:tc>
        <w:tc>
          <w:tcPr>
            <w:tcW w:type="dxa" w:w="1814"/>
            <w:tcMar>
              <w:top w:w="80" w:type="dxa"/>
              <w:start w:w="110" w:type="dxa"/>
              <w:bottom w:w="80" w:type="dxa"/>
              <w:end w:w="110" w:type="dxa"/>
            </w:tcMar>
            <w:vAlign w:val="center"/>
            <w:shd w:fill="F4F6F9"/>
          </w:tcPr>
          <w:p>
            <w:pPr>
              <w:spacing w:after="20" w:line="240" w:lineRule="auto"/>
            </w:pPr>
            <w:r>
              <w:rPr>
                <w:sz w:val="17"/>
              </w:rPr>
              <w:t>Dùng video dự phòng nếu NPC/path bị lệch.</w:t>
            </w:r>
          </w:p>
        </w:tc>
      </w:tr>
      <w:tr>
        <w:tc>
          <w:tcPr>
            <w:tcW w:type="dxa" w:w="1191"/>
            <w:tcMar>
              <w:top w:w="80" w:type="dxa"/>
              <w:start w:w="110" w:type="dxa"/>
              <w:bottom w:w="80" w:type="dxa"/>
              <w:end w:w="110" w:type="dxa"/>
            </w:tcMar>
            <w:vAlign w:val="center"/>
          </w:tcPr>
          <w:p>
            <w:pPr>
              <w:spacing w:after="20" w:line="240" w:lineRule="auto"/>
            </w:pPr>
            <w:r>
              <w:rPr>
                <w:sz w:val="17"/>
              </w:rPr>
              <w:t>04:20–05:10</w:t>
            </w:r>
          </w:p>
        </w:tc>
        <w:tc>
          <w:tcPr>
            <w:tcW w:type="dxa" w:w="2551"/>
            <w:tcMar>
              <w:top w:w="80" w:type="dxa"/>
              <w:start w:w="110" w:type="dxa"/>
              <w:bottom w:w="80" w:type="dxa"/>
              <w:end w:w="110" w:type="dxa"/>
            </w:tcMar>
            <w:vAlign w:val="center"/>
          </w:tcPr>
          <w:p>
            <w:pPr>
              <w:spacing w:after="20" w:line="240" w:lineRule="auto"/>
            </w:pPr>
            <w:r>
              <w:rPr>
                <w:sz w:val="17"/>
              </w:rPr>
              <w:t>Mở profile Tab: level/XP/Yen và nhu cầu</w:t>
            </w:r>
          </w:p>
        </w:tc>
        <w:tc>
          <w:tcPr>
            <w:tcW w:type="dxa" w:w="4082"/>
            <w:tcMar>
              <w:top w:w="80" w:type="dxa"/>
              <w:start w:w="110" w:type="dxa"/>
              <w:bottom w:w="80" w:type="dxa"/>
              <w:end w:w="110" w:type="dxa"/>
            </w:tcMar>
            <w:vAlign w:val="center"/>
          </w:tcPr>
          <w:p>
            <w:pPr>
              <w:spacing w:after="20" w:line="240" w:lineRule="auto"/>
            </w:pPr>
            <w:r>
              <w:rPr>
                <w:sz w:val="17"/>
              </w:rPr>
              <w:t>“XP là tổng tiến trình; level tính từ bảng. Knowledge được tách khỏi XP để không đồng nhất chơi nhiều với học giỏi.”</w:t>
            </w:r>
          </w:p>
        </w:tc>
        <w:tc>
          <w:tcPr>
            <w:tcW w:type="dxa" w:w="1814"/>
            <w:tcMar>
              <w:top w:w="80" w:type="dxa"/>
              <w:start w:w="110" w:type="dxa"/>
              <w:bottom w:w="80" w:type="dxa"/>
              <w:end w:w="110" w:type="dxa"/>
            </w:tcMar>
            <w:vAlign w:val="center"/>
          </w:tcPr>
          <w:p>
            <w:pPr>
              <w:spacing w:after="20" w:line="240" w:lineRule="auto"/>
            </w:pPr>
            <w:r>
              <w:rPr>
                <w:sz w:val="17"/>
              </w:rPr>
              <w:t>Đóng bằng ESC, cho thấy modal stack.</w:t>
            </w:r>
          </w:p>
        </w:tc>
      </w:tr>
      <w:tr>
        <w:tc>
          <w:tcPr>
            <w:tcW w:type="dxa" w:w="1191"/>
            <w:tcMar>
              <w:top w:w="80" w:type="dxa"/>
              <w:start w:w="110" w:type="dxa"/>
              <w:bottom w:w="80" w:type="dxa"/>
              <w:end w:w="110" w:type="dxa"/>
            </w:tcMar>
            <w:vAlign w:val="center"/>
            <w:shd w:fill="F4F6F9"/>
          </w:tcPr>
          <w:p>
            <w:pPr>
              <w:spacing w:after="20" w:line="240" w:lineRule="auto"/>
            </w:pPr>
            <w:r>
              <w:rPr>
                <w:sz w:val="17"/>
              </w:rPr>
              <w:t>05:10–06:10</w:t>
            </w:r>
          </w:p>
        </w:tc>
        <w:tc>
          <w:tcPr>
            <w:tcW w:type="dxa" w:w="2551"/>
            <w:tcMar>
              <w:top w:w="80" w:type="dxa"/>
              <w:start w:w="110" w:type="dxa"/>
              <w:bottom w:w="80" w:type="dxa"/>
              <w:end w:w="110" w:type="dxa"/>
            </w:tcMar>
            <w:vAlign w:val="center"/>
            <w:shd w:fill="F4F6F9"/>
          </w:tcPr>
          <w:p>
            <w:pPr>
              <w:spacing w:after="20" w:line="240" w:lineRule="auto"/>
            </w:pPr>
            <w:r>
              <w:rPr>
                <w:sz w:val="17"/>
              </w:rPr>
              <w:t>Tới ga, mua vé Midori ¥450, qua cổng/lên tàu</w:t>
            </w:r>
          </w:p>
        </w:tc>
        <w:tc>
          <w:tcPr>
            <w:tcW w:type="dxa" w:w="4082"/>
            <w:tcMar>
              <w:top w:w="80" w:type="dxa"/>
              <w:start w:w="110" w:type="dxa"/>
              <w:bottom w:w="80" w:type="dxa"/>
              <w:end w:w="110" w:type="dxa"/>
            </w:tcMar>
            <w:vAlign w:val="center"/>
            <w:shd w:fill="F4F6F9"/>
          </w:tcPr>
          <w:p>
            <w:pPr>
              <w:spacing w:after="20" w:line="240" w:lineRule="auto"/>
            </w:pPr>
            <w:r>
              <w:rPr>
                <w:sz w:val="17"/>
              </w:rPr>
              <w:t>“Giá lấy từ catalog. SceneFlow giữ save và spawn. Hệ thống có vé hỗ trợ để tránh soft-lock trên đảo.”</w:t>
            </w:r>
          </w:p>
        </w:tc>
        <w:tc>
          <w:tcPr>
            <w:tcW w:type="dxa" w:w="1814"/>
            <w:tcMar>
              <w:top w:w="80" w:type="dxa"/>
              <w:start w:w="110" w:type="dxa"/>
              <w:bottom w:w="80" w:type="dxa"/>
              <w:end w:w="110" w:type="dxa"/>
            </w:tcMar>
            <w:vAlign w:val="center"/>
            <w:shd w:fill="F4F6F9"/>
          </w:tcPr>
          <w:p>
            <w:pPr>
              <w:spacing w:after="20" w:line="240" w:lineRule="auto"/>
            </w:pPr>
            <w:r>
              <w:rPr>
                <w:sz w:val="17"/>
              </w:rPr>
              <w:t>Nếu thời gian ngắn: dùng save ngay trước cửa tàu.</w:t>
            </w:r>
          </w:p>
        </w:tc>
      </w:tr>
      <w:tr>
        <w:tc>
          <w:tcPr>
            <w:tcW w:type="dxa" w:w="1191"/>
            <w:tcMar>
              <w:top w:w="80" w:type="dxa"/>
              <w:start w:w="110" w:type="dxa"/>
              <w:bottom w:w="80" w:type="dxa"/>
              <w:end w:w="110" w:type="dxa"/>
            </w:tcMar>
            <w:vAlign w:val="center"/>
          </w:tcPr>
          <w:p>
            <w:pPr>
              <w:spacing w:after="20" w:line="240" w:lineRule="auto"/>
            </w:pPr>
            <w:r>
              <w:rPr>
                <w:sz w:val="17"/>
              </w:rPr>
              <w:t>06:10–08:50</w:t>
            </w:r>
          </w:p>
        </w:tc>
        <w:tc>
          <w:tcPr>
            <w:tcW w:type="dxa" w:w="2551"/>
            <w:tcMar>
              <w:top w:w="80" w:type="dxa"/>
              <w:start w:w="110" w:type="dxa"/>
              <w:bottom w:w="80" w:type="dxa"/>
              <w:end w:w="110" w:type="dxa"/>
            </w:tcMar>
            <w:vAlign w:val="center"/>
          </w:tcPr>
          <w:p>
            <w:pPr>
              <w:spacing w:after="20" w:line="240" w:lineRule="auto"/>
            </w:pPr>
            <w:r>
              <w:rPr>
                <w:sz w:val="17"/>
              </w:rPr>
              <w:t>Midori: mở shop P, mua hạt; xới, gieo, tưới; dùng save/cây sẵn để thu hoạch</w:t>
            </w:r>
          </w:p>
        </w:tc>
        <w:tc>
          <w:tcPr>
            <w:tcW w:type="dxa" w:w="4082"/>
            <w:tcMar>
              <w:top w:w="80" w:type="dxa"/>
              <w:start w:w="110" w:type="dxa"/>
              <w:bottom w:w="80" w:type="dxa"/>
              <w:end w:w="110" w:type="dxa"/>
            </w:tcMar>
            <w:vAlign w:val="center"/>
          </w:tcPr>
          <w:p>
            <w:pPr>
              <w:spacing w:after="20" w:line="240" w:lineRule="auto"/>
            </w:pPr>
            <w:r>
              <w:rPr>
                <w:sz w:val="17"/>
              </w:rPr>
              <w:t>“Ruộng có state lưu trong PlayerProgressDto.island. Cây tăng trưởng theo UTC, nên rời đảo vẫn lớn. Thao tác có thời gian và yêu cầu công cụ.”</w:t>
            </w:r>
          </w:p>
        </w:tc>
        <w:tc>
          <w:tcPr>
            <w:tcW w:type="dxa" w:w="1814"/>
            <w:tcMar>
              <w:top w:w="80" w:type="dxa"/>
              <w:start w:w="110" w:type="dxa"/>
              <w:bottom w:w="80" w:type="dxa"/>
              <w:end w:w="110" w:type="dxa"/>
            </w:tcMar>
            <w:vAlign w:val="center"/>
          </w:tcPr>
          <w:p>
            <w:pPr>
              <w:spacing w:after="20" w:line="240" w:lineRule="auto"/>
            </w:pPr>
            <w:r>
              <w:rPr>
                <w:sz w:val="17"/>
              </w:rPr>
              <w:t>Không chờ cây lớn trực tiếp; chuyển plot đã chuẩn bị hoặc clip time-lapse.</w:t>
            </w:r>
          </w:p>
        </w:tc>
      </w:tr>
      <w:tr>
        <w:tc>
          <w:tcPr>
            <w:tcW w:type="dxa" w:w="1191"/>
            <w:tcMar>
              <w:top w:w="80" w:type="dxa"/>
              <w:start w:w="110" w:type="dxa"/>
              <w:bottom w:w="80" w:type="dxa"/>
              <w:end w:w="110" w:type="dxa"/>
            </w:tcMar>
            <w:vAlign w:val="center"/>
            <w:shd w:fill="F4F6F9"/>
          </w:tcPr>
          <w:p>
            <w:pPr>
              <w:spacing w:after="20" w:line="240" w:lineRule="auto"/>
            </w:pPr>
            <w:r>
              <w:rPr>
                <w:sz w:val="17"/>
              </w:rPr>
              <w:t>08:50–09:40</w:t>
            </w:r>
          </w:p>
        </w:tc>
        <w:tc>
          <w:tcPr>
            <w:tcW w:type="dxa" w:w="2551"/>
            <w:tcMar>
              <w:top w:w="80" w:type="dxa"/>
              <w:start w:w="110" w:type="dxa"/>
              <w:bottom w:w="80" w:type="dxa"/>
              <w:end w:w="110" w:type="dxa"/>
            </w:tcMar>
            <w:vAlign w:val="center"/>
            <w:shd w:fill="F4F6F9"/>
          </w:tcPr>
          <w:p>
            <w:pPr>
              <w:spacing w:after="20" w:line="240" w:lineRule="auto"/>
            </w:pPr>
            <w:r>
              <w:rPr>
                <w:sz w:val="17"/>
              </w:rPr>
              <w:t>Cho bò ăn/vuốt ve; mở notebook</w:t>
            </w:r>
          </w:p>
        </w:tc>
        <w:tc>
          <w:tcPr>
            <w:tcW w:type="dxa" w:w="4082"/>
            <w:tcMar>
              <w:top w:w="80" w:type="dxa"/>
              <w:start w:w="110" w:type="dxa"/>
              <w:bottom w:w="80" w:type="dxa"/>
              <w:end w:w="110" w:type="dxa"/>
            </w:tcMar>
            <w:vAlign w:val="center"/>
            <w:shd w:fill="F4F6F9"/>
          </w:tcPr>
          <w:p>
            <w:pPr>
              <w:spacing w:after="20" w:line="240" w:lineRule="auto"/>
            </w:pPr>
            <w:r>
              <w:rPr>
                <w:sz w:val="17"/>
              </w:rPr>
              <w:t>“Vật nuôi dùng catalog thức ăn/từ vựng. Hiện tại là chăm sóc, chưa tuyên bố breeding hay sản phẩm.”</w:t>
            </w:r>
          </w:p>
        </w:tc>
        <w:tc>
          <w:tcPr>
            <w:tcW w:type="dxa" w:w="1814"/>
            <w:tcMar>
              <w:top w:w="80" w:type="dxa"/>
              <w:start w:w="110" w:type="dxa"/>
              <w:bottom w:w="80" w:type="dxa"/>
              <w:end w:w="110" w:type="dxa"/>
            </w:tcMar>
            <w:vAlign w:val="center"/>
            <w:shd w:fill="F4F6F9"/>
          </w:tcPr>
          <w:p>
            <w:pPr>
              <w:spacing w:after="20" w:line="240" w:lineRule="auto"/>
            </w:pPr>
            <w:r>
              <w:rPr>
                <w:sz w:val="17"/>
              </w:rPr>
              <w:t>Chỉ demo một con vật.</w:t>
            </w:r>
          </w:p>
        </w:tc>
      </w:tr>
      <w:tr>
        <w:tc>
          <w:tcPr>
            <w:tcW w:type="dxa" w:w="1191"/>
            <w:tcMar>
              <w:top w:w="80" w:type="dxa"/>
              <w:start w:w="110" w:type="dxa"/>
              <w:bottom w:w="80" w:type="dxa"/>
              <w:end w:w="110" w:type="dxa"/>
            </w:tcMar>
            <w:vAlign w:val="center"/>
          </w:tcPr>
          <w:p>
            <w:pPr>
              <w:spacing w:after="20" w:line="240" w:lineRule="auto"/>
            </w:pPr>
            <w:r>
              <w:rPr>
                <w:sz w:val="17"/>
              </w:rPr>
              <w:t>09:40–10:40</w:t>
            </w:r>
          </w:p>
        </w:tc>
        <w:tc>
          <w:tcPr>
            <w:tcW w:type="dxa" w:w="2551"/>
            <w:tcMar>
              <w:top w:w="80" w:type="dxa"/>
              <w:start w:w="110" w:type="dxa"/>
              <w:bottom w:w="80" w:type="dxa"/>
              <w:end w:w="110" w:type="dxa"/>
            </w:tcMar>
            <w:vAlign w:val="center"/>
          </w:tcPr>
          <w:p>
            <w:pPr>
              <w:spacing w:after="20" w:line="240" w:lineRule="auto"/>
            </w:pPr>
            <w:r>
              <w:rPr>
                <w:sz w:val="17"/>
              </w:rPr>
              <w:t>Bán nông sản; hoàn tất ca Midori; chỉ Yen tăng</w:t>
            </w:r>
          </w:p>
        </w:tc>
        <w:tc>
          <w:tcPr>
            <w:tcW w:type="dxa" w:w="4082"/>
            <w:tcMar>
              <w:top w:w="80" w:type="dxa"/>
              <w:start w:w="110" w:type="dxa"/>
              <w:bottom w:w="80" w:type="dxa"/>
              <w:end w:w="110" w:type="dxa"/>
            </w:tcMar>
            <w:vAlign w:val="center"/>
          </w:tcPr>
          <w:p>
            <w:pPr>
              <w:spacing w:after="20" w:line="240" w:lineRule="auto"/>
            </w:pPr>
            <w:r>
              <w:rPr>
                <w:sz w:val="17"/>
              </w:rPr>
              <w:t>“Đây là vòng kinh tế: làm việc hoặc thu hoạch → nhận Yen → mua vé/hạt/dụng cụ → mở hoạt động tiếp.”</w:t>
            </w:r>
          </w:p>
        </w:tc>
        <w:tc>
          <w:tcPr>
            <w:tcW w:type="dxa" w:w="1814"/>
            <w:tcMar>
              <w:top w:w="80" w:type="dxa"/>
              <w:start w:w="110" w:type="dxa"/>
              <w:bottom w:w="80" w:type="dxa"/>
              <w:end w:w="110" w:type="dxa"/>
            </w:tcMar>
            <w:vAlign w:val="center"/>
          </w:tcPr>
          <w:p>
            <w:pPr>
              <w:spacing w:after="20" w:line="240" w:lineRule="auto"/>
            </w:pPr>
            <w:r>
              <w:rPr>
                <w:sz w:val="17"/>
              </w:rPr>
              <w:t>Nếu job chưa nhận: chỉ bán nông sản và giải thích ca bằng ảnh.</w:t>
            </w:r>
          </w:p>
        </w:tc>
      </w:tr>
      <w:tr>
        <w:tc>
          <w:tcPr>
            <w:tcW w:type="dxa" w:w="1191"/>
            <w:tcMar>
              <w:top w:w="80" w:type="dxa"/>
              <w:start w:w="110" w:type="dxa"/>
              <w:bottom w:w="80" w:type="dxa"/>
              <w:end w:w="110" w:type="dxa"/>
            </w:tcMar>
            <w:vAlign w:val="center"/>
            <w:shd w:fill="F4F6F9"/>
          </w:tcPr>
          <w:p>
            <w:pPr>
              <w:spacing w:after="20" w:line="240" w:lineRule="auto"/>
            </w:pPr>
            <w:r>
              <w:rPr>
                <w:sz w:val="17"/>
              </w:rPr>
              <w:t>10:40–12:00</w:t>
            </w:r>
          </w:p>
        </w:tc>
        <w:tc>
          <w:tcPr>
            <w:tcW w:type="dxa" w:w="2551"/>
            <w:tcMar>
              <w:top w:w="80" w:type="dxa"/>
              <w:start w:w="110" w:type="dxa"/>
              <w:bottom w:w="80" w:type="dxa"/>
              <w:end w:w="110" w:type="dxa"/>
            </w:tcMar>
            <w:vAlign w:val="center"/>
            <w:shd w:fill="F4F6F9"/>
          </w:tcPr>
          <w:p>
            <w:pPr>
              <w:spacing w:after="20" w:line="240" w:lineRule="auto"/>
            </w:pPr>
            <w:r>
              <w:rPr>
                <w:sz w:val="17"/>
              </w:rPr>
              <w:t>Mở Exam Center: JLPT và IELTS; chạy một câu/đoạn ngắn</w:t>
            </w:r>
          </w:p>
        </w:tc>
        <w:tc>
          <w:tcPr>
            <w:tcW w:type="dxa" w:w="4082"/>
            <w:tcMar>
              <w:top w:w="80" w:type="dxa"/>
              <w:start w:w="110" w:type="dxa"/>
              <w:bottom w:w="80" w:type="dxa"/>
              <w:end w:w="110" w:type="dxa"/>
            </w:tcMar>
            <w:vAlign w:val="center"/>
            <w:shd w:fill="F4F6F9"/>
          </w:tcPr>
          <w:p>
            <w:pPr>
              <w:spacing w:after="20" w:line="240" w:lineRule="auto"/>
            </w:pPr>
            <w:r>
              <w:rPr>
                <w:sz w:val="17"/>
              </w:rPr>
              <w:t>“JLPT là đề luyện tự soạn. IELTS engine có practice/exam, autosave và review; nội dung có bản quyền không nằm trong repo/build.”</w:t>
            </w:r>
          </w:p>
        </w:tc>
        <w:tc>
          <w:tcPr>
            <w:tcW w:type="dxa" w:w="1814"/>
            <w:tcMar>
              <w:top w:w="80" w:type="dxa"/>
              <w:start w:w="110" w:type="dxa"/>
              <w:bottom w:w="80" w:type="dxa"/>
              <w:end w:w="110" w:type="dxa"/>
            </w:tcMar>
            <w:vAlign w:val="center"/>
            <w:shd w:fill="F4F6F9"/>
          </w:tcPr>
          <w:p>
            <w:pPr>
              <w:spacing w:after="20" w:line="240" w:lineRule="auto"/>
            </w:pPr>
            <w:r>
              <w:rPr>
                <w:sz w:val="17"/>
              </w:rPr>
              <w:t>Không chạy full audio; không mở LocalContent nhạy cảm.</w:t>
            </w:r>
          </w:p>
        </w:tc>
      </w:tr>
      <w:tr>
        <w:tc>
          <w:tcPr>
            <w:tcW w:type="dxa" w:w="1191"/>
            <w:tcMar>
              <w:top w:w="80" w:type="dxa"/>
              <w:start w:w="110" w:type="dxa"/>
              <w:bottom w:w="80" w:type="dxa"/>
              <w:end w:w="110" w:type="dxa"/>
            </w:tcMar>
            <w:vAlign w:val="center"/>
          </w:tcPr>
          <w:p>
            <w:pPr>
              <w:spacing w:after="20" w:line="240" w:lineRule="auto"/>
            </w:pPr>
            <w:r>
              <w:rPr>
                <w:sz w:val="17"/>
              </w:rPr>
              <w:t>12:00–13:00</w:t>
            </w:r>
          </w:p>
        </w:tc>
        <w:tc>
          <w:tcPr>
            <w:tcW w:type="dxa" w:w="2551"/>
            <w:tcMar>
              <w:top w:w="80" w:type="dxa"/>
              <w:start w:w="110" w:type="dxa"/>
              <w:bottom w:w="80" w:type="dxa"/>
              <w:end w:w="110" w:type="dxa"/>
            </w:tcMar>
            <w:vAlign w:val="center"/>
          </w:tcPr>
          <w:p>
            <w:pPr>
              <w:spacing w:after="20" w:line="240" w:lineRule="auto"/>
            </w:pPr>
            <w:r>
              <w:rPr>
                <w:sz w:val="17"/>
              </w:rPr>
              <w:t>Kết quả test + kiến trúc slide/ảnh</w:t>
            </w:r>
          </w:p>
        </w:tc>
        <w:tc>
          <w:tcPr>
            <w:tcW w:type="dxa" w:w="4082"/>
            <w:tcMar>
              <w:top w:w="80" w:type="dxa"/>
              <w:start w:w="110" w:type="dxa"/>
              <w:bottom w:w="80" w:type="dxa"/>
              <w:end w:w="110" w:type="dxa"/>
            </w:tcMar>
            <w:vAlign w:val="center"/>
          </w:tcPr>
          <w:p>
            <w:pPr>
              <w:spacing w:after="20" w:line="240" w:lineRule="auto"/>
            </w:pPr>
            <w:r>
              <w:rPr>
                <w:sz w:val="17"/>
              </w:rPr>
              <w:t>“Stage B: 19 PlayMode đạt, 1 explicit; 16 EditMode. IELTS: 6 test đạt. Midori có regression toàn vòng; số hiệu năng là Editor, không phải benchmark build.”</w:t>
            </w:r>
          </w:p>
        </w:tc>
        <w:tc>
          <w:tcPr>
            <w:tcW w:type="dxa" w:w="1814"/>
            <w:tcMar>
              <w:top w:w="80" w:type="dxa"/>
              <w:start w:w="110" w:type="dxa"/>
              <w:bottom w:w="80" w:type="dxa"/>
              <w:end w:w="110" w:type="dxa"/>
            </w:tcMar>
            <w:vAlign w:val="center"/>
          </w:tcPr>
          <w:p>
            <w:pPr>
              <w:spacing w:after="20" w:line="240" w:lineRule="auto"/>
            </w:pPr>
            <w:r>
              <w:rPr>
                <w:sz w:val="17"/>
              </w:rPr>
              <w:t>Mở bảng trong báo cáo nếu test runner không sẵn.</w:t>
            </w:r>
          </w:p>
        </w:tc>
      </w:tr>
      <w:tr>
        <w:tc>
          <w:tcPr>
            <w:tcW w:type="dxa" w:w="1191"/>
            <w:tcMar>
              <w:top w:w="80" w:type="dxa"/>
              <w:start w:w="110" w:type="dxa"/>
              <w:bottom w:w="80" w:type="dxa"/>
              <w:end w:w="110" w:type="dxa"/>
            </w:tcMar>
            <w:vAlign w:val="center"/>
            <w:shd w:fill="F4F6F9"/>
          </w:tcPr>
          <w:p>
            <w:pPr>
              <w:spacing w:after="20" w:line="240" w:lineRule="auto"/>
            </w:pPr>
            <w:r>
              <w:rPr>
                <w:sz w:val="17"/>
              </w:rPr>
              <w:t>13:00–14:00</w:t>
            </w:r>
          </w:p>
        </w:tc>
        <w:tc>
          <w:tcPr>
            <w:tcW w:type="dxa" w:w="2551"/>
            <w:tcMar>
              <w:top w:w="80" w:type="dxa"/>
              <w:start w:w="110" w:type="dxa"/>
              <w:bottom w:w="80" w:type="dxa"/>
              <w:end w:w="110" w:type="dxa"/>
            </w:tcMar>
            <w:vAlign w:val="center"/>
            <w:shd w:fill="F4F6F9"/>
          </w:tcPr>
          <w:p>
            <w:pPr>
              <w:spacing w:after="20" w:line="240" w:lineRule="auto"/>
            </w:pPr>
            <w:r>
              <w:rPr>
                <w:sz w:val="17"/>
              </w:rPr>
              <w:t>Kết luận tại cảnh hoàng hôn/Hibari</w:t>
            </w:r>
          </w:p>
        </w:tc>
        <w:tc>
          <w:tcPr>
            <w:tcW w:type="dxa" w:w="4082"/>
            <w:tcMar>
              <w:top w:w="80" w:type="dxa"/>
              <w:start w:w="110" w:type="dxa"/>
              <w:bottom w:w="80" w:type="dxa"/>
              <w:end w:w="110" w:type="dxa"/>
            </w:tcMar>
            <w:vAlign w:val="center"/>
            <w:shd w:fill="F4F6F9"/>
          </w:tcPr>
          <w:p>
            <w:pPr>
              <w:spacing w:after="20" w:line="240" w:lineRule="auto"/>
            </w:pPr>
            <w:r>
              <w:rPr>
                <w:sz w:val="17"/>
              </w:rPr>
              <w:t>“Giá trị nằm ở việc người học dùng ngôn ngữ để sống trong thế giới, nhận phản hồi và thấy tiến bộ. Phần online nhiều người và WebGL vẫn là hạng mục kiểm chứng tiếp theo.”</w:t>
            </w:r>
          </w:p>
        </w:tc>
        <w:tc>
          <w:tcPr>
            <w:tcW w:type="dxa" w:w="1814"/>
            <w:tcMar>
              <w:top w:w="80" w:type="dxa"/>
              <w:start w:w="110" w:type="dxa"/>
              <w:bottom w:w="80" w:type="dxa"/>
              <w:end w:w="110" w:type="dxa"/>
            </w:tcMar>
            <w:vAlign w:val="center"/>
            <w:shd w:fill="F4F6F9"/>
          </w:tcPr>
          <w:p>
            <w:pPr>
              <w:spacing w:after="20" w:line="240" w:lineRule="auto"/>
            </w:pPr>
            <w:r>
              <w:rPr>
                <w:sz w:val="17"/>
              </w:rPr>
              <w:t>Kết ở end card/logo.</w:t>
            </w:r>
          </w:p>
        </w:tc>
      </w:tr>
    </w:tbl>
    <w:p/>
    <w:p>
      <w:pPr>
        <w:pStyle w:val="Heading1"/>
      </w:pPr>
      <w:r>
        <w:t>4. Câu hỏi phản biện dự kiến</w:t>
      </w:r>
    </w:p>
    <w:tbl>
      <w:tblPr>
        <w:tblStyle w:val="TableGrid"/>
        <w:tblW w:type="auto" w:w="0"/>
        <w:jc w:val="center"/>
        <w:tblLayout w:type="fixed"/>
        <w:tblLook w:firstColumn="1" w:firstRow="1" w:lastColumn="0" w:lastRow="0" w:noHBand="0" w:noVBand="1" w:val="04A0"/>
      </w:tblPr>
      <w:tblGrid>
        <w:gridCol w:w="4621"/>
        <w:gridCol w:w="4621"/>
      </w:tblGrid>
      <w:tr>
        <w:tc>
          <w:tcPr>
            <w:tcW w:type="dxa" w:w="3118"/>
            <w:shd w:fill="17365D"/>
            <w:tcMar>
              <w:top w:w="80" w:type="dxa"/>
              <w:start w:w="110" w:type="dxa"/>
              <w:bottom w:w="80" w:type="dxa"/>
              <w:end w:w="110" w:type="dxa"/>
            </w:tcMar>
            <w:vAlign w:val="center"/>
          </w:tcPr>
          <w:p>
            <w:r>
              <w:rPr>
                <w:b/>
                <w:color w:val="FFFFFF"/>
                <w:sz w:val="18"/>
              </w:rPr>
              <w:t>Câu hỏi</w:t>
            </w:r>
          </w:p>
        </w:tc>
        <w:tc>
          <w:tcPr>
            <w:tcW w:type="dxa" w:w="6520"/>
            <w:shd w:fill="17365D"/>
            <w:tcMar>
              <w:top w:w="80" w:type="dxa"/>
              <w:start w:w="110" w:type="dxa"/>
              <w:bottom w:w="80" w:type="dxa"/>
              <w:end w:w="110" w:type="dxa"/>
            </w:tcMar>
            <w:vAlign w:val="center"/>
          </w:tcPr>
          <w:p>
            <w:r>
              <w:rPr>
                <w:b/>
                <w:color w:val="FFFFFF"/>
                <w:sz w:val="18"/>
              </w:rPr>
              <w:t>Trả lời ngắn</w:t>
            </w:r>
          </w:p>
        </w:tc>
      </w:tr>
      <w:tr>
        <w:tc>
          <w:tcPr>
            <w:tcW w:type="dxa" w:w="3118"/>
            <w:tcMar>
              <w:top w:w="80" w:type="dxa"/>
              <w:start w:w="110" w:type="dxa"/>
              <w:bottom w:w="80" w:type="dxa"/>
              <w:end w:w="110" w:type="dxa"/>
            </w:tcMar>
            <w:vAlign w:val="center"/>
          </w:tcPr>
          <w:p>
            <w:pPr>
              <w:spacing w:after="20" w:line="240" w:lineRule="auto"/>
            </w:pPr>
            <w:r>
              <w:rPr>
                <w:sz w:val="17"/>
              </w:rPr>
              <w:t>Game chứng minh hiệu quả học tập chưa?</w:t>
            </w:r>
          </w:p>
        </w:tc>
        <w:tc>
          <w:tcPr>
            <w:tcW w:type="dxa" w:w="6520"/>
            <w:tcMar>
              <w:top w:w="80" w:type="dxa"/>
              <w:start w:w="110" w:type="dxa"/>
              <w:bottom w:w="80" w:type="dxa"/>
              <w:end w:w="110" w:type="dxa"/>
            </w:tcMar>
            <w:vAlign w:val="center"/>
          </w:tcPr>
          <w:p>
            <w:pPr>
              <w:spacing w:after="20" w:line="240" w:lineRule="auto"/>
            </w:pPr>
            <w:r>
              <w:rPr>
                <w:sz w:val="17"/>
              </w:rPr>
              <w:t>Chưa. Báo cáo chứng minh implementation và usability kỹ thuật; hiệu quả cần thử nghiệm người học trước/sau.</w:t>
            </w:r>
          </w:p>
        </w:tc>
      </w:tr>
      <w:tr>
        <w:tc>
          <w:tcPr>
            <w:tcW w:type="dxa" w:w="3118"/>
            <w:tcMar>
              <w:top w:w="80" w:type="dxa"/>
              <w:start w:w="110" w:type="dxa"/>
              <w:bottom w:w="80" w:type="dxa"/>
              <w:end w:w="110" w:type="dxa"/>
            </w:tcMar>
            <w:vAlign w:val="center"/>
            <w:shd w:fill="F4F6F9"/>
          </w:tcPr>
          <w:p>
            <w:pPr>
              <w:spacing w:after="20" w:line="240" w:lineRule="auto"/>
            </w:pPr>
            <w:r>
              <w:rPr>
                <w:sz w:val="17"/>
              </w:rPr>
              <w:t>Online đã chạy thật chưa?</w:t>
            </w:r>
          </w:p>
        </w:tc>
        <w:tc>
          <w:tcPr>
            <w:tcW w:type="dxa" w:w="6520"/>
            <w:tcMar>
              <w:top w:w="80" w:type="dxa"/>
              <w:start w:w="110" w:type="dxa"/>
              <w:bottom w:w="80" w:type="dxa"/>
              <w:end w:w="110" w:type="dxa"/>
            </w:tcMar>
            <w:vAlign w:val="center"/>
            <w:shd w:fill="F4F6F9"/>
          </w:tcPr>
          <w:p>
            <w:pPr>
              <w:spacing w:after="20" w:line="240" w:lineRule="auto"/>
            </w:pPr>
            <w:r>
              <w:rPr>
                <w:sz w:val="17"/>
              </w:rPr>
              <w:t>Code và fallback có; Supabase nhiều người và Agora hai máy chưa được kiểm chứng nên không trình diễn như hoàn tất.</w:t>
            </w:r>
          </w:p>
        </w:tc>
      </w:tr>
      <w:tr>
        <w:tc>
          <w:tcPr>
            <w:tcW w:type="dxa" w:w="3118"/>
            <w:tcMar>
              <w:top w:w="80" w:type="dxa"/>
              <w:start w:w="110" w:type="dxa"/>
              <w:bottom w:w="80" w:type="dxa"/>
              <w:end w:w="110" w:type="dxa"/>
            </w:tcMar>
            <w:vAlign w:val="center"/>
          </w:tcPr>
          <w:p>
            <w:pPr>
              <w:spacing w:after="20" w:line="240" w:lineRule="auto"/>
            </w:pPr>
            <w:r>
              <w:rPr>
                <w:sz w:val="17"/>
              </w:rPr>
              <w:t>Vì sao có cả JLPT và IELTS?</w:t>
            </w:r>
          </w:p>
        </w:tc>
        <w:tc>
          <w:tcPr>
            <w:tcW w:type="dxa" w:w="6520"/>
            <w:tcMar>
              <w:top w:w="80" w:type="dxa"/>
              <w:start w:w="110" w:type="dxa"/>
              <w:bottom w:w="80" w:type="dxa"/>
              <w:end w:w="110" w:type="dxa"/>
            </w:tcMar>
            <w:vAlign w:val="center"/>
          </w:tcPr>
          <w:p>
            <w:pPr>
              <w:spacing w:after="20" w:line="240" w:lineRule="auto"/>
            </w:pPr>
            <w:r>
              <w:rPr>
                <w:sz w:val="17"/>
              </w:rPr>
              <w:t>JLPT gắn trực tiếp mục tiêu tiếng Nhật; IELTS chứng minh exam engine tổng quát. Hai loại dùng repository/UI riêng và được gắn nhãn luyện tập.</w:t>
            </w:r>
          </w:p>
        </w:tc>
      </w:tr>
      <w:tr>
        <w:tc>
          <w:tcPr>
            <w:tcW w:type="dxa" w:w="3118"/>
            <w:tcMar>
              <w:top w:w="80" w:type="dxa"/>
              <w:start w:w="110" w:type="dxa"/>
              <w:bottom w:w="80" w:type="dxa"/>
              <w:end w:w="110" w:type="dxa"/>
            </w:tcMar>
            <w:vAlign w:val="center"/>
            <w:shd w:fill="F4F6F9"/>
          </w:tcPr>
          <w:p>
            <w:pPr>
              <w:spacing w:after="20" w:line="240" w:lineRule="auto"/>
            </w:pPr>
            <w:r>
              <w:rPr>
                <w:sz w:val="17"/>
              </w:rPr>
              <w:t>Kinh tế có cân bằng không?</w:t>
            </w:r>
          </w:p>
        </w:tc>
        <w:tc>
          <w:tcPr>
            <w:tcW w:type="dxa" w:w="6520"/>
            <w:tcMar>
              <w:top w:w="80" w:type="dxa"/>
              <w:start w:w="110" w:type="dxa"/>
              <w:bottom w:w="80" w:type="dxa"/>
              <w:end w:w="110" w:type="dxa"/>
            </w:tcMar>
            <w:vAlign w:val="center"/>
            <w:shd w:fill="F4F6F9"/>
          </w:tcPr>
          <w:p>
            <w:pPr>
              <w:spacing w:after="20" w:line="240" w:lineRule="auto"/>
            </w:pPr>
            <w:r>
              <w:rPr>
                <w:sz w:val="17"/>
              </w:rPr>
              <w:t>Dòng tiền và điều kiện đã triển khai; cân bằng cuối cần telemetry/UAT. Hiện lương lần lượt ¥600/¥700/¥500 và vé Midori ¥450.</w:t>
            </w:r>
          </w:p>
        </w:tc>
      </w:tr>
      <w:tr>
        <w:tc>
          <w:tcPr>
            <w:tcW w:type="dxa" w:w="3118"/>
            <w:tcMar>
              <w:top w:w="80" w:type="dxa"/>
              <w:start w:w="110" w:type="dxa"/>
              <w:bottom w:w="80" w:type="dxa"/>
              <w:end w:w="110" w:type="dxa"/>
            </w:tcMar>
            <w:vAlign w:val="center"/>
          </w:tcPr>
          <w:p>
            <w:pPr>
              <w:spacing w:after="20" w:line="240" w:lineRule="auto"/>
            </w:pPr>
            <w:r>
              <w:rPr>
                <w:sz w:val="17"/>
              </w:rPr>
              <w:t>Midori có phải scene runtime tạm?</w:t>
            </w:r>
          </w:p>
        </w:tc>
        <w:tc>
          <w:tcPr>
            <w:tcW w:type="dxa" w:w="6520"/>
            <w:tcMar>
              <w:top w:w="80" w:type="dxa"/>
              <w:start w:w="110" w:type="dxa"/>
              <w:bottom w:w="80" w:type="dxa"/>
              <w:end w:w="110" w:type="dxa"/>
            </w:tcMar>
            <w:vAlign w:val="center"/>
          </w:tcPr>
          <w:p>
            <w:pPr>
              <w:spacing w:after="20" w:line="240" w:lineRule="auto"/>
            </w:pPr>
            <w:r>
              <w:rPr>
                <w:sz w:val="17"/>
              </w:rPr>
              <w:t>Không. Scene 60_MidoriIsland được lưu thành asset đã duyệt, có collider/spawn/return flow và PlayMode regression.</w:t>
            </w:r>
          </w:p>
        </w:tc>
      </w:tr>
      <w:tr>
        <w:tc>
          <w:tcPr>
            <w:tcW w:type="dxa" w:w="3118"/>
            <w:tcMar>
              <w:top w:w="80" w:type="dxa"/>
              <w:start w:w="110" w:type="dxa"/>
              <w:bottom w:w="80" w:type="dxa"/>
              <w:end w:w="110" w:type="dxa"/>
            </w:tcMar>
            <w:vAlign w:val="center"/>
            <w:shd w:fill="F4F6F9"/>
          </w:tcPr>
          <w:p>
            <w:pPr>
              <w:spacing w:after="20" w:line="240" w:lineRule="auto"/>
            </w:pPr>
            <w:r>
              <w:rPr>
                <w:sz w:val="17"/>
              </w:rPr>
              <w:t>Dữ liệu có mất khi sync không?</w:t>
            </w:r>
          </w:p>
        </w:tc>
        <w:tc>
          <w:tcPr>
            <w:tcW w:type="dxa" w:w="6520"/>
            <w:tcMar>
              <w:top w:w="80" w:type="dxa"/>
              <w:start w:w="110" w:type="dxa"/>
              <w:bottom w:w="80" w:type="dxa"/>
              <w:end w:w="110" w:type="dxa"/>
            </w:tcMar>
            <w:vAlign w:val="center"/>
            <w:shd w:fill="F4F6F9"/>
          </w:tcPr>
          <w:p>
            <w:pPr>
              <w:spacing w:after="20" w:line="240" w:lineRule="auto"/>
            </w:pPr>
            <w:r>
              <w:rPr>
                <w:sz w:val="17"/>
              </w:rPr>
              <w:t>Lỗi merge từng làm rơi inventory/island/quests đã sửa và có unit test; backend thật cần được kiểm chứng lại trước phát hành.</w:t>
            </w:r>
          </w:p>
        </w:tc>
      </w:tr>
    </w:tbl>
    <w:p/>
    <w:p>
      <w:pPr>
        <w:pStyle w:val="Heading1"/>
      </w:pPr>
      <w:r>
        <w:t>5. Nguyên tắc trình bày</w:t>
      </w:r>
    </w:p>
    <w:p>
      <w:pPr>
        <w:pStyle w:val="ListBullet"/>
        <w:ind w:left="397"/>
      </w:pPr>
      <w:r>
        <w:t>Không demo mọi tính năng. Một vòng chơi hoàn chỉnh thuyết phục hơn nhiều popup rời rạc.</w:t>
      </w:r>
    </w:p>
    <w:p>
      <w:pPr>
        <w:pStyle w:val="ListBullet"/>
        <w:ind w:left="397"/>
      </w:pPr>
      <w:r>
        <w:t>Mỗi thao tác phải đi kèm một luận điểm thiết kế hoặc kỹ thuật; tránh chỉ mô tả “bấm nút này”.</w:t>
      </w:r>
    </w:p>
    <w:p>
      <w:pPr>
        <w:pStyle w:val="ListBullet"/>
        <w:ind w:left="397"/>
      </w:pPr>
      <w:r>
        <w:t>Nói rõ ranh giới: đã triển khai, đã kiểm thử, chưa kiểm thử. Đây là điểm mạnh học thuật, không phải điểm yếu.</w:t>
      </w:r>
    </w:p>
    <w:p>
      <w:pPr>
        <w:pStyle w:val="ListBullet"/>
        <w:ind w:left="397"/>
      </w:pPr>
      <w:r>
        <w:t>Giữ 1–2 phút dự phòng cho lỗi hoặc câu hỏi; tổng demo trực tiếp không quá 14 phút.</w:t>
      </w:r>
    </w:p>
    <w:sectPr w:rsidR="00FC693F" w:rsidRPr="0006063C" w:rsidSect="00034616">
      <w:footerReference w:type="default" r:id="rId9"/>
      <w:pgSz w:w="11906" w:h="16838"/>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NIHONGOLIFE • CAPSTONE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