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jc w:val="center"/>
      </w:pPr>
      <w:r>
        <w:t>KỊCH BẢN TRAILER NIHONGOLIFE</w:t>
      </w:r>
    </w:p>
    <w:p>
      <w:pPr>
        <w:pStyle w:val="Subtitle"/>
        <w:jc w:val="center"/>
      </w:pPr>
      <w:r>
        <w:t>Bản đề xuất mới • storytelling • 90 giây • 1920×1080 / 30 fps</w:t>
      </w:r>
    </w:p>
    <w:p>
      <w:pPr>
        <w:jc w:val="center"/>
      </w:pPr>
      <w:r>
        <w:rPr>
          <w:color w:val="667085"/>
        </w:rPr>
        <w:t>NihongoLife • Quách Thành Long • VTC Academy • 10/10/2026</w:t>
      </w:r>
    </w:p>
    <w:p>
      <w:r>
        <w:br w:type="page"/>
      </w:r>
    </w:p>
    <w:p>
      <w:pPr>
        <w:pStyle w:val="Heading1"/>
      </w:pPr>
      <w:r>
        <w:t>1. Đánh giá trailer hiện tại</w:t>
      </w:r>
    </w:p>
    <w:p>
      <w:r>
        <w:t>Trailer hiện tại dài 67,43 giây, 1920×1080, 30 fps, H.264/AAC. Cấu trúc là montage: logo → toàn cảnh Hibari → đi bộ/hội thoại → konbini → sushi → phòng trọ → ga → lớp học → Game Center/Kana Match → end card. Nhận diện rõ và nhịp gọn, nhưng chưa có một mục tiêu xuyên suốt; nhiều shot mang tính “tham quan”, chưa cho thấy Phase 5–7 như Midori Island, farming, vật nuôi, việc làm, Task Journal, level và kinh tế. Trailer mới nên kể một ngày của du học sinh, dùng Midori làm cao trào và chỉ nhắc online như khả năng mở rộng, không trình bày như tính năng đã kiểm chứng hoàn toàn.</w:t>
      </w:r>
    </w:p>
    <w:p>
      <w:pPr>
        <w:pStyle w:val="Heading1"/>
      </w:pPr>
      <w:r>
        <w:t>2. Ý tưởng sáng tạo</w:t>
      </w:r>
    </w:p>
    <w:p>
      <w:r>
        <w:t>Logline: “Một ngày mới ở Hibari-chō: học tiếng Nhật bằng cách sống, làm việc và kết nối.”</w:t>
      </w:r>
    </w:p>
    <w:p>
      <w:pPr>
        <w:pStyle w:val="ListBullet"/>
        <w:ind w:left="397"/>
      </w:pPr>
      <w:r>
        <w:t>Nhịp cảm xúc: bỡ ngỡ → chủ động → thành thạo → mở rộng thế giới → thuộc về cộng đồng.</w:t>
      </w:r>
    </w:p>
    <w:p>
      <w:pPr>
        <w:pStyle w:val="ListBullet"/>
        <w:ind w:left="397"/>
      </w:pPr>
      <w:r>
        <w:t>Trục hình ảnh: thành phố buổi sáng → nhiệm vụ → giao tiếp → việc làm → chuyến tàu → Midori → lớp học/kết quả → cộng đồng.</w:t>
      </w:r>
    </w:p>
    <w:p>
      <w:pPr>
        <w:pStyle w:val="ListBullet"/>
        <w:ind w:left="397"/>
      </w:pPr>
      <w:r>
        <w:t>Trục âm thanh: ambience yên tĩnh, nhạc tăng dần, sound cue cho quest/Yen/thu hoạch, kết bằng chủ đề thương hiệu.</w:t>
      </w:r>
    </w:p>
    <w:p>
      <w:pPr>
        <w:pStyle w:val="ListBullet"/>
        <w:ind w:left="397"/>
      </w:pPr>
      <w:r>
        <w:t>Tỷ lệ nội dung: 70% gameplay thao tác thật, 20% cinematic fly-through, 10% title/end card.</w:t>
      </w:r>
    </w:p>
    <w:p>
      <w:pPr>
        <w:pStyle w:val="Heading1"/>
      </w:pPr>
      <w:r>
        <w:t>3. Shot list 90 giây</w:t>
      </w:r>
    </w:p>
    <w:tbl>
      <w:tblPr>
        <w:tblStyle w:val="TableGrid"/>
        <w:tblW w:type="auto" w:w="0"/>
        <w:jc w:val="center"/>
        <w:tblLayout w:type="fixed"/>
        <w:tblLook w:firstColumn="1" w:firstRow="1" w:lastColumn="0" w:lastRow="0" w:noHBand="0" w:noVBand="1" w:val="04A0"/>
      </w:tblPr>
      <w:tblGrid>
        <w:gridCol w:w="1848"/>
        <w:gridCol w:w="1848"/>
        <w:gridCol w:w="1848"/>
        <w:gridCol w:w="1848"/>
        <w:gridCol w:w="1848"/>
      </w:tblGrid>
      <w:tr>
        <w:tc>
          <w:tcPr>
            <w:tcW w:type="dxa" w:w="1247"/>
            <w:shd w:fill="17365D"/>
            <w:tcMar>
              <w:top w:w="80" w:type="dxa"/>
              <w:start w:w="110" w:type="dxa"/>
              <w:bottom w:w="80" w:type="dxa"/>
              <w:end w:w="110" w:type="dxa"/>
            </w:tcMar>
            <w:vAlign w:val="center"/>
          </w:tcPr>
          <w:p>
            <w:r>
              <w:rPr>
                <w:b/>
                <w:color w:val="FFFFFF"/>
                <w:sz w:val="18"/>
              </w:rPr>
              <w:t>Thời lượng</w:t>
            </w:r>
          </w:p>
        </w:tc>
        <w:tc>
          <w:tcPr>
            <w:tcW w:type="dxa" w:w="2494"/>
            <w:shd w:fill="17365D"/>
            <w:tcMar>
              <w:top w:w="80" w:type="dxa"/>
              <w:start w:w="110" w:type="dxa"/>
              <w:bottom w:w="80" w:type="dxa"/>
              <w:end w:w="110" w:type="dxa"/>
            </w:tcMar>
            <w:vAlign w:val="center"/>
          </w:tcPr>
          <w:p>
            <w:r>
              <w:rPr>
                <w:b/>
                <w:color w:val="FFFFFF"/>
                <w:sz w:val="18"/>
              </w:rPr>
              <w:t>Hình ảnh/scene</w:t>
            </w:r>
          </w:p>
        </w:tc>
        <w:tc>
          <w:tcPr>
            <w:tcW w:type="dxa" w:w="2154"/>
            <w:shd w:fill="17365D"/>
            <w:tcMar>
              <w:top w:w="80" w:type="dxa"/>
              <w:start w:w="110" w:type="dxa"/>
              <w:bottom w:w="80" w:type="dxa"/>
              <w:end w:w="110" w:type="dxa"/>
            </w:tcMar>
            <w:vAlign w:val="center"/>
          </w:tcPr>
          <w:p>
            <w:r>
              <w:rPr>
                <w:b/>
                <w:color w:val="FFFFFF"/>
                <w:sz w:val="18"/>
              </w:rPr>
              <w:t>Góc quay &amp; dựng</w:t>
            </w:r>
          </w:p>
        </w:tc>
        <w:tc>
          <w:tcPr>
            <w:tcW w:type="dxa" w:w="1587"/>
            <w:shd w:fill="17365D"/>
            <w:tcMar>
              <w:top w:w="80" w:type="dxa"/>
              <w:start w:w="110" w:type="dxa"/>
              <w:bottom w:w="80" w:type="dxa"/>
              <w:end w:w="110" w:type="dxa"/>
            </w:tcMar>
            <w:vAlign w:val="center"/>
          </w:tcPr>
          <w:p>
            <w:r>
              <w:rPr>
                <w:b/>
                <w:color w:val="FFFFFF"/>
                <w:sz w:val="18"/>
              </w:rPr>
              <w:t>Âm thanh</w:t>
            </w:r>
          </w:p>
        </w:tc>
        <w:tc>
          <w:tcPr>
            <w:tcW w:type="dxa" w:w="2268"/>
            <w:shd w:fill="17365D"/>
            <w:tcMar>
              <w:top w:w="80" w:type="dxa"/>
              <w:start w:w="110" w:type="dxa"/>
              <w:bottom w:w="80" w:type="dxa"/>
              <w:end w:w="110" w:type="dxa"/>
            </w:tcMar>
            <w:vAlign w:val="center"/>
          </w:tcPr>
          <w:p>
            <w:r>
              <w:rPr>
                <w:b/>
                <w:color w:val="FFFFFF"/>
                <w:sz w:val="18"/>
              </w:rPr>
              <w:t>Lời dẫn/chữ</w:t>
            </w:r>
          </w:p>
        </w:tc>
      </w:tr>
      <w:tr>
        <w:tc>
          <w:tcPr>
            <w:tcW w:type="dxa" w:w="1247"/>
            <w:tcMar>
              <w:top w:w="80" w:type="dxa"/>
              <w:start w:w="110" w:type="dxa"/>
              <w:bottom w:w="80" w:type="dxa"/>
              <w:end w:w="110" w:type="dxa"/>
            </w:tcMar>
            <w:vAlign w:val="center"/>
          </w:tcPr>
          <w:p>
            <w:pPr>
              <w:spacing w:after="20" w:line="240" w:lineRule="auto"/>
            </w:pPr>
            <w:r>
              <w:rPr>
                <w:sz w:val="17"/>
              </w:rPr>
              <w:t>00:00–00:05</w:t>
            </w:r>
          </w:p>
        </w:tc>
        <w:tc>
          <w:tcPr>
            <w:tcW w:type="dxa" w:w="2494"/>
            <w:tcMar>
              <w:top w:w="80" w:type="dxa"/>
              <w:start w:w="110" w:type="dxa"/>
              <w:bottom w:w="80" w:type="dxa"/>
              <w:end w:w="110" w:type="dxa"/>
            </w:tcMar>
            <w:vAlign w:val="center"/>
          </w:tcPr>
          <w:p>
            <w:pPr>
              <w:spacing w:after="20" w:line="240" w:lineRule="auto"/>
            </w:pPr>
            <w:r>
              <w:rPr>
                <w:sz w:val="17"/>
              </w:rPr>
              <w:t>Cold open: ga Hibari lúc sáng; nhân vật bước xuống tàu</w:t>
            </w:r>
          </w:p>
        </w:tc>
        <w:tc>
          <w:tcPr>
            <w:tcW w:type="dxa" w:w="2154"/>
            <w:tcMar>
              <w:top w:w="80" w:type="dxa"/>
              <w:start w:w="110" w:type="dxa"/>
              <w:bottom w:w="80" w:type="dxa"/>
              <w:end w:w="110" w:type="dxa"/>
            </w:tcMar>
            <w:vAlign w:val="center"/>
          </w:tcPr>
          <w:p>
            <w:pPr>
              <w:spacing w:after="20" w:line="240" w:lineRule="auto"/>
            </w:pPr>
            <w:r>
              <w:rPr>
                <w:sz w:val="17"/>
              </w:rPr>
              <w:t>Wide dolly-in, 24–28 mm; cut theo tiếng chuông ga</w:t>
            </w:r>
          </w:p>
        </w:tc>
        <w:tc>
          <w:tcPr>
            <w:tcW w:type="dxa" w:w="1587"/>
            <w:tcMar>
              <w:top w:w="80" w:type="dxa"/>
              <w:start w:w="110" w:type="dxa"/>
              <w:bottom w:w="80" w:type="dxa"/>
              <w:end w:w="110" w:type="dxa"/>
            </w:tcMar>
            <w:vAlign w:val="center"/>
          </w:tcPr>
          <w:p>
            <w:pPr>
              <w:spacing w:after="20" w:line="240" w:lineRule="auto"/>
            </w:pPr>
            <w:r>
              <w:rPr>
                <w:sz w:val="17"/>
              </w:rPr>
              <w:t>Ambience ga, một nhịp piano</w:t>
            </w:r>
          </w:p>
        </w:tc>
        <w:tc>
          <w:tcPr>
            <w:tcW w:type="dxa" w:w="2268"/>
            <w:tcMar>
              <w:top w:w="80" w:type="dxa"/>
              <w:start w:w="110" w:type="dxa"/>
              <w:bottom w:w="80" w:type="dxa"/>
              <w:end w:w="110" w:type="dxa"/>
            </w:tcMar>
            <w:vAlign w:val="center"/>
          </w:tcPr>
          <w:p>
            <w:pPr>
              <w:spacing w:after="20" w:line="240" w:lineRule="auto"/>
            </w:pPr>
            <w:r>
              <w:rPr>
                <w:sz w:val="17"/>
              </w:rPr>
              <w:t>VO: “Một ngôn ngữ không chỉ nằm trong sách.”</w:t>
            </w:r>
          </w:p>
        </w:tc>
      </w:tr>
      <w:tr>
        <w:tc>
          <w:tcPr>
            <w:tcW w:type="dxa" w:w="1247"/>
            <w:tcMar>
              <w:top w:w="80" w:type="dxa"/>
              <w:start w:w="110" w:type="dxa"/>
              <w:bottom w:w="80" w:type="dxa"/>
              <w:end w:w="110" w:type="dxa"/>
            </w:tcMar>
            <w:vAlign w:val="center"/>
            <w:shd w:fill="F4F6F9"/>
          </w:tcPr>
          <w:p>
            <w:pPr>
              <w:spacing w:after="20" w:line="240" w:lineRule="auto"/>
            </w:pPr>
            <w:r>
              <w:rPr>
                <w:sz w:val="17"/>
              </w:rPr>
              <w:t>00:05–00:10</w:t>
            </w:r>
          </w:p>
        </w:tc>
        <w:tc>
          <w:tcPr>
            <w:tcW w:type="dxa" w:w="2494"/>
            <w:tcMar>
              <w:top w:w="80" w:type="dxa"/>
              <w:start w:w="110" w:type="dxa"/>
              <w:bottom w:w="80" w:type="dxa"/>
              <w:end w:w="110" w:type="dxa"/>
            </w:tcMar>
            <w:vAlign w:val="center"/>
            <w:shd w:fill="F4F6F9"/>
          </w:tcPr>
          <w:p>
            <w:pPr>
              <w:spacing w:after="20" w:line="240" w:lineRule="auto"/>
            </w:pPr>
            <w:r>
              <w:rPr>
                <w:sz w:val="17"/>
              </w:rPr>
              <w:t>Logo NihongoLife + Hibari-chō</w:t>
            </w:r>
          </w:p>
        </w:tc>
        <w:tc>
          <w:tcPr>
            <w:tcW w:type="dxa" w:w="2154"/>
            <w:tcMar>
              <w:top w:w="80" w:type="dxa"/>
              <w:start w:w="110" w:type="dxa"/>
              <w:bottom w:w="80" w:type="dxa"/>
              <w:end w:w="110" w:type="dxa"/>
            </w:tcMar>
            <w:vAlign w:val="center"/>
            <w:shd w:fill="F4F6F9"/>
          </w:tcPr>
          <w:p>
            <w:pPr>
              <w:spacing w:after="20" w:line="240" w:lineRule="auto"/>
            </w:pPr>
            <w:r>
              <w:rPr>
                <w:sz w:val="17"/>
              </w:rPr>
              <w:t>Logo trên nền phố; parallax nhẹ</w:t>
            </w:r>
          </w:p>
        </w:tc>
        <w:tc>
          <w:tcPr>
            <w:tcW w:type="dxa" w:w="1587"/>
            <w:tcMar>
              <w:top w:w="80" w:type="dxa"/>
              <w:start w:w="110" w:type="dxa"/>
              <w:bottom w:w="80" w:type="dxa"/>
              <w:end w:w="110" w:type="dxa"/>
            </w:tcMar>
            <w:vAlign w:val="center"/>
            <w:shd w:fill="F4F6F9"/>
          </w:tcPr>
          <w:p>
            <w:pPr>
              <w:spacing w:after="20" w:line="240" w:lineRule="auto"/>
            </w:pPr>
            <w:r>
              <w:rPr>
                <w:sz w:val="17"/>
              </w:rPr>
              <w:t>Theme motif</w:t>
            </w:r>
          </w:p>
        </w:tc>
        <w:tc>
          <w:tcPr>
            <w:tcW w:type="dxa" w:w="2268"/>
            <w:tcMar>
              <w:top w:w="80" w:type="dxa"/>
              <w:start w:w="110" w:type="dxa"/>
              <w:bottom w:w="80" w:type="dxa"/>
              <w:end w:w="110" w:type="dxa"/>
            </w:tcMar>
            <w:vAlign w:val="center"/>
            <w:shd w:fill="F4F6F9"/>
          </w:tcPr>
          <w:p>
            <w:pPr>
              <w:spacing w:after="20" w:line="240" w:lineRule="auto"/>
            </w:pPr>
            <w:r>
              <w:rPr>
                <w:sz w:val="17"/>
              </w:rPr>
              <w:t>Text: Học tiếng Nhật bằng cách sống.</w:t>
            </w:r>
          </w:p>
        </w:tc>
      </w:tr>
      <w:tr>
        <w:tc>
          <w:tcPr>
            <w:tcW w:type="dxa" w:w="1247"/>
            <w:tcMar>
              <w:top w:w="80" w:type="dxa"/>
              <w:start w:w="110" w:type="dxa"/>
              <w:bottom w:w="80" w:type="dxa"/>
              <w:end w:w="110" w:type="dxa"/>
            </w:tcMar>
            <w:vAlign w:val="center"/>
          </w:tcPr>
          <w:p>
            <w:pPr>
              <w:spacing w:after="20" w:line="240" w:lineRule="auto"/>
            </w:pPr>
            <w:r>
              <w:rPr>
                <w:sz w:val="17"/>
              </w:rPr>
              <w:t>00:10–00:18</w:t>
            </w:r>
          </w:p>
        </w:tc>
        <w:tc>
          <w:tcPr>
            <w:tcW w:type="dxa" w:w="2494"/>
            <w:tcMar>
              <w:top w:w="80" w:type="dxa"/>
              <w:start w:w="110" w:type="dxa"/>
              <w:bottom w:w="80" w:type="dxa"/>
              <w:end w:w="110" w:type="dxa"/>
            </w:tcMar>
            <w:vAlign w:val="center"/>
          </w:tcPr>
          <w:p>
            <w:pPr>
              <w:spacing w:after="20" w:line="240" w:lineRule="auto"/>
            </w:pPr>
            <w:r>
              <w:rPr>
                <w:sz w:val="17"/>
              </w:rPr>
              <w:t>Nhận quest, bản đồ, waypoint</w:t>
            </w:r>
          </w:p>
        </w:tc>
        <w:tc>
          <w:tcPr>
            <w:tcW w:type="dxa" w:w="2154"/>
            <w:tcMar>
              <w:top w:w="80" w:type="dxa"/>
              <w:start w:w="110" w:type="dxa"/>
              <w:bottom w:w="80" w:type="dxa"/>
              <w:end w:w="110" w:type="dxa"/>
            </w:tcMar>
            <w:vAlign w:val="center"/>
          </w:tcPr>
          <w:p>
            <w:pPr>
              <w:spacing w:after="20" w:line="240" w:lineRule="auto"/>
            </w:pPr>
            <w:r>
              <w:rPr>
                <w:sz w:val="17"/>
              </w:rPr>
              <w:t>Over-shoulder → cận HUD mục tiêu</w:t>
            </w:r>
          </w:p>
        </w:tc>
        <w:tc>
          <w:tcPr>
            <w:tcW w:type="dxa" w:w="1587"/>
            <w:tcMar>
              <w:top w:w="80" w:type="dxa"/>
              <w:start w:w="110" w:type="dxa"/>
              <w:bottom w:w="80" w:type="dxa"/>
              <w:end w:w="110" w:type="dxa"/>
            </w:tcMar>
            <w:vAlign w:val="center"/>
          </w:tcPr>
          <w:p>
            <w:pPr>
              <w:spacing w:after="20" w:line="240" w:lineRule="auto"/>
            </w:pPr>
            <w:r>
              <w:rPr>
                <w:sz w:val="17"/>
              </w:rPr>
              <w:t>Quest chime</w:t>
            </w:r>
          </w:p>
        </w:tc>
        <w:tc>
          <w:tcPr>
            <w:tcW w:type="dxa" w:w="2268"/>
            <w:tcMar>
              <w:top w:w="80" w:type="dxa"/>
              <w:start w:w="110" w:type="dxa"/>
              <w:bottom w:w="80" w:type="dxa"/>
              <w:end w:w="110" w:type="dxa"/>
            </w:tcMar>
            <w:vAlign w:val="center"/>
          </w:tcPr>
          <w:p>
            <w:pPr>
              <w:spacing w:after="20" w:line="240" w:lineRule="auto"/>
            </w:pPr>
            <w:r>
              <w:rPr>
                <w:sz w:val="17"/>
              </w:rPr>
              <w:t>VO: “Mỗi ngày bắt đầu bằng một mục tiêu thật.”</w:t>
            </w:r>
          </w:p>
        </w:tc>
      </w:tr>
      <w:tr>
        <w:tc>
          <w:tcPr>
            <w:tcW w:type="dxa" w:w="1247"/>
            <w:tcMar>
              <w:top w:w="80" w:type="dxa"/>
              <w:start w:w="110" w:type="dxa"/>
              <w:bottom w:w="80" w:type="dxa"/>
              <w:end w:w="110" w:type="dxa"/>
            </w:tcMar>
            <w:vAlign w:val="center"/>
            <w:shd w:fill="F4F6F9"/>
          </w:tcPr>
          <w:p>
            <w:pPr>
              <w:spacing w:after="20" w:line="240" w:lineRule="auto"/>
            </w:pPr>
            <w:r>
              <w:rPr>
                <w:sz w:val="17"/>
              </w:rPr>
              <w:t>00:18–00:28</w:t>
            </w:r>
          </w:p>
        </w:tc>
        <w:tc>
          <w:tcPr>
            <w:tcW w:type="dxa" w:w="2494"/>
            <w:tcMar>
              <w:top w:w="80" w:type="dxa"/>
              <w:start w:w="110" w:type="dxa"/>
              <w:bottom w:w="80" w:type="dxa"/>
              <w:end w:w="110" w:type="dxa"/>
            </w:tcMar>
            <w:vAlign w:val="center"/>
            <w:shd w:fill="F4F6F9"/>
          </w:tcPr>
          <w:p>
            <w:pPr>
              <w:spacing w:after="20" w:line="240" w:lineRule="auto"/>
            </w:pPr>
            <w:r>
              <w:rPr>
                <w:sz w:val="17"/>
              </w:rPr>
              <w:t>Hội thoại Tanaka; chọn sai, nhận giải thích, chọn lại</w:t>
            </w:r>
          </w:p>
        </w:tc>
        <w:tc>
          <w:tcPr>
            <w:tcW w:type="dxa" w:w="2154"/>
            <w:tcMar>
              <w:top w:w="80" w:type="dxa"/>
              <w:start w:w="110" w:type="dxa"/>
              <w:bottom w:w="80" w:type="dxa"/>
              <w:end w:w="110" w:type="dxa"/>
            </w:tcMar>
            <w:vAlign w:val="center"/>
            <w:shd w:fill="F4F6F9"/>
          </w:tcPr>
          <w:p>
            <w:pPr>
              <w:spacing w:after="20" w:line="240" w:lineRule="auto"/>
            </w:pPr>
            <w:r>
              <w:rPr>
                <w:sz w:val="17"/>
              </w:rPr>
              <w:t>Shot/reverse-shot; cận lựa chọn; tránh giữ UI quá lâu</w:t>
            </w:r>
          </w:p>
        </w:tc>
        <w:tc>
          <w:tcPr>
            <w:tcW w:type="dxa" w:w="1587"/>
            <w:tcMar>
              <w:top w:w="80" w:type="dxa"/>
              <w:start w:w="110" w:type="dxa"/>
              <w:bottom w:w="80" w:type="dxa"/>
              <w:end w:w="110" w:type="dxa"/>
            </w:tcMar>
            <w:vAlign w:val="center"/>
            <w:shd w:fill="F4F6F9"/>
          </w:tcPr>
          <w:p>
            <w:pPr>
              <w:spacing w:after="20" w:line="240" w:lineRule="auto"/>
            </w:pPr>
            <w:r>
              <w:rPr>
                <w:sz w:val="17"/>
              </w:rPr>
              <w:t>Voice Nhật + click mềm</w:t>
            </w:r>
          </w:p>
        </w:tc>
        <w:tc>
          <w:tcPr>
            <w:tcW w:type="dxa" w:w="2268"/>
            <w:tcMar>
              <w:top w:w="80" w:type="dxa"/>
              <w:start w:w="110" w:type="dxa"/>
              <w:bottom w:w="80" w:type="dxa"/>
              <w:end w:w="110" w:type="dxa"/>
            </w:tcMar>
            <w:vAlign w:val="center"/>
            <w:shd w:fill="F4F6F9"/>
          </w:tcPr>
          <w:p>
            <w:pPr>
              <w:spacing w:after="20" w:line="240" w:lineRule="auto"/>
            </w:pPr>
            <w:r>
              <w:rPr>
                <w:sz w:val="17"/>
              </w:rPr>
              <w:t>VO: “Thử, sai và nói lại — không áp lực.”</w:t>
            </w:r>
          </w:p>
        </w:tc>
      </w:tr>
      <w:tr>
        <w:tc>
          <w:tcPr>
            <w:tcW w:type="dxa" w:w="1247"/>
            <w:tcMar>
              <w:top w:w="80" w:type="dxa"/>
              <w:start w:w="110" w:type="dxa"/>
              <w:bottom w:w="80" w:type="dxa"/>
              <w:end w:w="110" w:type="dxa"/>
            </w:tcMar>
            <w:vAlign w:val="center"/>
          </w:tcPr>
          <w:p>
            <w:pPr>
              <w:spacing w:after="20" w:line="240" w:lineRule="auto"/>
            </w:pPr>
            <w:r>
              <w:rPr>
                <w:sz w:val="17"/>
              </w:rPr>
              <w:t>00:28–00:38</w:t>
            </w:r>
          </w:p>
        </w:tc>
        <w:tc>
          <w:tcPr>
            <w:tcW w:type="dxa" w:w="2494"/>
            <w:tcMar>
              <w:top w:w="80" w:type="dxa"/>
              <w:start w:w="110" w:type="dxa"/>
              <w:bottom w:w="80" w:type="dxa"/>
              <w:end w:w="110" w:type="dxa"/>
            </w:tcMar>
            <w:vAlign w:val="center"/>
          </w:tcPr>
          <w:p>
            <w:pPr>
              <w:spacing w:after="20" w:line="240" w:lineRule="auto"/>
            </w:pPr>
            <w:r>
              <w:rPr>
                <w:sz w:val="17"/>
              </w:rPr>
              <w:t>Konbini: bê thùng, xếp kệ, trả lời khách, nhận ¥600</w:t>
            </w:r>
          </w:p>
        </w:tc>
        <w:tc>
          <w:tcPr>
            <w:tcW w:type="dxa" w:w="2154"/>
            <w:tcMar>
              <w:top w:w="80" w:type="dxa"/>
              <w:start w:w="110" w:type="dxa"/>
              <w:bottom w:w="80" w:type="dxa"/>
              <w:end w:w="110" w:type="dxa"/>
            </w:tcMar>
            <w:vAlign w:val="center"/>
          </w:tcPr>
          <w:p>
            <w:pPr>
              <w:spacing w:after="20" w:line="240" w:lineRule="auto"/>
            </w:pPr>
            <w:r>
              <w:rPr>
                <w:sz w:val="17"/>
              </w:rPr>
              <w:t>Montage 4 cut; handheld rất nhẹ; match cut tay/vật phẩm</w:t>
            </w:r>
          </w:p>
        </w:tc>
        <w:tc>
          <w:tcPr>
            <w:tcW w:type="dxa" w:w="1587"/>
            <w:tcMar>
              <w:top w:w="80" w:type="dxa"/>
              <w:start w:w="110" w:type="dxa"/>
              <w:bottom w:w="80" w:type="dxa"/>
              <w:end w:w="110" w:type="dxa"/>
            </w:tcMar>
            <w:vAlign w:val="center"/>
          </w:tcPr>
          <w:p>
            <w:pPr>
              <w:spacing w:after="20" w:line="240" w:lineRule="auto"/>
            </w:pPr>
            <w:r>
              <w:rPr>
                <w:sz w:val="17"/>
              </w:rPr>
              <w:t>Foley thùng hàng, register ding</w:t>
            </w:r>
          </w:p>
        </w:tc>
        <w:tc>
          <w:tcPr>
            <w:tcW w:type="dxa" w:w="2268"/>
            <w:tcMar>
              <w:top w:w="80" w:type="dxa"/>
              <w:start w:w="110" w:type="dxa"/>
              <w:bottom w:w="80" w:type="dxa"/>
              <w:end w:w="110" w:type="dxa"/>
            </w:tcMar>
            <w:vAlign w:val="center"/>
          </w:tcPr>
          <w:p>
            <w:pPr>
              <w:spacing w:after="20" w:line="240" w:lineRule="auto"/>
            </w:pPr>
            <w:r>
              <w:rPr>
                <w:sz w:val="17"/>
              </w:rPr>
              <w:t>Text nhỏ: Việc làm nhiều bước • phần thưởng thật</w:t>
            </w:r>
          </w:p>
        </w:tc>
      </w:tr>
      <w:tr>
        <w:tc>
          <w:tcPr>
            <w:tcW w:type="dxa" w:w="1247"/>
            <w:tcMar>
              <w:top w:w="80" w:type="dxa"/>
              <w:start w:w="110" w:type="dxa"/>
              <w:bottom w:w="80" w:type="dxa"/>
              <w:end w:w="110" w:type="dxa"/>
            </w:tcMar>
            <w:vAlign w:val="center"/>
            <w:shd w:fill="F4F6F9"/>
          </w:tcPr>
          <w:p>
            <w:pPr>
              <w:spacing w:after="20" w:line="240" w:lineRule="auto"/>
            </w:pPr>
            <w:r>
              <w:rPr>
                <w:sz w:val="17"/>
              </w:rPr>
              <w:t>00:38–00:45</w:t>
            </w:r>
          </w:p>
        </w:tc>
        <w:tc>
          <w:tcPr>
            <w:tcW w:type="dxa" w:w="2494"/>
            <w:tcMar>
              <w:top w:w="80" w:type="dxa"/>
              <w:start w:w="110" w:type="dxa"/>
              <w:bottom w:w="80" w:type="dxa"/>
              <w:end w:w="110" w:type="dxa"/>
            </w:tcMar>
            <w:vAlign w:val="center"/>
            <w:shd w:fill="F4F6F9"/>
          </w:tcPr>
          <w:p>
            <w:pPr>
              <w:spacing w:after="20" w:line="240" w:lineRule="auto"/>
            </w:pPr>
            <w:r>
              <w:rPr>
                <w:sz w:val="17"/>
              </w:rPr>
              <w:t>Sushi: đọc order và giao đúng bàn</w:t>
            </w:r>
          </w:p>
        </w:tc>
        <w:tc>
          <w:tcPr>
            <w:tcW w:type="dxa" w:w="2154"/>
            <w:tcMar>
              <w:top w:w="80" w:type="dxa"/>
              <w:start w:w="110" w:type="dxa"/>
              <w:bottom w:w="80" w:type="dxa"/>
              <w:end w:w="110" w:type="dxa"/>
            </w:tcMar>
            <w:vAlign w:val="center"/>
            <w:shd w:fill="F4F6F9"/>
          </w:tcPr>
          <w:p>
            <w:pPr>
              <w:spacing w:after="20" w:line="240" w:lineRule="auto"/>
            </w:pPr>
            <w:r>
              <w:rPr>
                <w:sz w:val="17"/>
              </w:rPr>
              <w:t>Tracking ngang; insert món ăn/icon</w:t>
            </w:r>
          </w:p>
        </w:tc>
        <w:tc>
          <w:tcPr>
            <w:tcW w:type="dxa" w:w="1587"/>
            <w:tcMar>
              <w:top w:w="80" w:type="dxa"/>
              <w:start w:w="110" w:type="dxa"/>
              <w:bottom w:w="80" w:type="dxa"/>
              <w:end w:w="110" w:type="dxa"/>
            </w:tcMar>
            <w:vAlign w:val="center"/>
            <w:shd w:fill="F4F6F9"/>
          </w:tcPr>
          <w:p>
            <w:pPr>
              <w:spacing w:after="20" w:line="240" w:lineRule="auto"/>
            </w:pPr>
            <w:r>
              <w:rPr>
                <w:sz w:val="17"/>
              </w:rPr>
              <w:t>Nhịp trống tăng</w:t>
            </w:r>
          </w:p>
        </w:tc>
        <w:tc>
          <w:tcPr>
            <w:tcW w:type="dxa" w:w="2268"/>
            <w:tcMar>
              <w:top w:w="80" w:type="dxa"/>
              <w:start w:w="110" w:type="dxa"/>
              <w:bottom w:w="80" w:type="dxa"/>
              <w:end w:w="110" w:type="dxa"/>
            </w:tcMar>
            <w:vAlign w:val="center"/>
            <w:shd w:fill="F4F6F9"/>
          </w:tcPr>
          <w:p>
            <w:pPr>
              <w:spacing w:after="20" w:line="240" w:lineRule="auto"/>
            </w:pPr>
            <w:r>
              <w:rPr>
                <w:sz w:val="17"/>
              </w:rPr>
              <w:t>VO: “Ngôn ngữ trở thành hành động.”</w:t>
            </w:r>
          </w:p>
        </w:tc>
      </w:tr>
      <w:tr>
        <w:tc>
          <w:tcPr>
            <w:tcW w:type="dxa" w:w="1247"/>
            <w:tcMar>
              <w:top w:w="80" w:type="dxa"/>
              <w:start w:w="110" w:type="dxa"/>
              <w:bottom w:w="80" w:type="dxa"/>
              <w:end w:w="110" w:type="dxa"/>
            </w:tcMar>
            <w:vAlign w:val="center"/>
          </w:tcPr>
          <w:p>
            <w:pPr>
              <w:spacing w:after="20" w:line="240" w:lineRule="auto"/>
            </w:pPr>
            <w:r>
              <w:rPr>
                <w:sz w:val="17"/>
              </w:rPr>
              <w:t>00:45–00:52</w:t>
            </w:r>
          </w:p>
        </w:tc>
        <w:tc>
          <w:tcPr>
            <w:tcW w:type="dxa" w:w="2494"/>
            <w:tcMar>
              <w:top w:w="80" w:type="dxa"/>
              <w:start w:w="110" w:type="dxa"/>
              <w:bottom w:w="80" w:type="dxa"/>
              <w:end w:w="110" w:type="dxa"/>
            </w:tcMar>
            <w:vAlign w:val="center"/>
          </w:tcPr>
          <w:p>
            <w:pPr>
              <w:spacing w:after="20" w:line="240" w:lineRule="auto"/>
            </w:pPr>
            <w:r>
              <w:rPr>
                <w:sz w:val="17"/>
              </w:rPr>
              <w:t>Mua vé ¥450, cửa tàu đóng, chuyển cảnh</w:t>
            </w:r>
          </w:p>
        </w:tc>
        <w:tc>
          <w:tcPr>
            <w:tcW w:type="dxa" w:w="2154"/>
            <w:tcMar>
              <w:top w:w="80" w:type="dxa"/>
              <w:start w:w="110" w:type="dxa"/>
              <w:bottom w:w="80" w:type="dxa"/>
              <w:end w:w="110" w:type="dxa"/>
            </w:tcMar>
            <w:vAlign w:val="center"/>
          </w:tcPr>
          <w:p>
            <w:pPr>
              <w:spacing w:after="20" w:line="240" w:lineRule="auto"/>
            </w:pPr>
            <w:r>
              <w:rPr>
                <w:sz w:val="17"/>
              </w:rPr>
              <w:t>Cận máy vé → whip pan sang tàu</w:t>
            </w:r>
          </w:p>
        </w:tc>
        <w:tc>
          <w:tcPr>
            <w:tcW w:type="dxa" w:w="1587"/>
            <w:tcMar>
              <w:top w:w="80" w:type="dxa"/>
              <w:start w:w="110" w:type="dxa"/>
              <w:bottom w:w="80" w:type="dxa"/>
              <w:end w:w="110" w:type="dxa"/>
            </w:tcMar>
            <w:vAlign w:val="center"/>
          </w:tcPr>
          <w:p>
            <w:pPr>
              <w:spacing w:after="20" w:line="240" w:lineRule="auto"/>
            </w:pPr>
            <w:r>
              <w:rPr>
                <w:sz w:val="17"/>
              </w:rPr>
              <w:t>Chuông cửa, rail whoosh</w:t>
            </w:r>
          </w:p>
        </w:tc>
        <w:tc>
          <w:tcPr>
            <w:tcW w:type="dxa" w:w="2268"/>
            <w:tcMar>
              <w:top w:w="80" w:type="dxa"/>
              <w:start w:w="110" w:type="dxa"/>
              <w:bottom w:w="80" w:type="dxa"/>
              <w:end w:w="110" w:type="dxa"/>
            </w:tcMar>
            <w:vAlign w:val="center"/>
          </w:tcPr>
          <w:p>
            <w:pPr>
              <w:spacing w:after="20" w:line="240" w:lineRule="auto"/>
            </w:pPr>
            <w:r>
              <w:rPr>
                <w:sz w:val="17"/>
              </w:rPr>
              <w:t>Text: Hibari → みどりじま</w:t>
            </w:r>
          </w:p>
        </w:tc>
      </w:tr>
      <w:tr>
        <w:tc>
          <w:tcPr>
            <w:tcW w:type="dxa" w:w="1247"/>
            <w:tcMar>
              <w:top w:w="80" w:type="dxa"/>
              <w:start w:w="110" w:type="dxa"/>
              <w:bottom w:w="80" w:type="dxa"/>
              <w:end w:w="110" w:type="dxa"/>
            </w:tcMar>
            <w:vAlign w:val="center"/>
            <w:shd w:fill="F4F6F9"/>
          </w:tcPr>
          <w:p>
            <w:pPr>
              <w:spacing w:after="20" w:line="240" w:lineRule="auto"/>
            </w:pPr>
            <w:r>
              <w:rPr>
                <w:sz w:val="17"/>
              </w:rPr>
              <w:t>00:52–01:06</w:t>
            </w:r>
          </w:p>
        </w:tc>
        <w:tc>
          <w:tcPr>
            <w:tcW w:type="dxa" w:w="2494"/>
            <w:tcMar>
              <w:top w:w="80" w:type="dxa"/>
              <w:start w:w="110" w:type="dxa"/>
              <w:bottom w:w="80" w:type="dxa"/>
              <w:end w:w="110" w:type="dxa"/>
            </w:tcMar>
            <w:vAlign w:val="center"/>
            <w:shd w:fill="F4F6F9"/>
          </w:tcPr>
          <w:p>
            <w:pPr>
              <w:spacing w:after="20" w:line="240" w:lineRule="auto"/>
            </w:pPr>
            <w:r>
              <w:rPr>
                <w:sz w:val="17"/>
              </w:rPr>
              <w:t>Midori: toàn cảnh, xới, gieo, tưới, cây lớn, thu hoạch</w:t>
            </w:r>
          </w:p>
        </w:tc>
        <w:tc>
          <w:tcPr>
            <w:tcW w:type="dxa" w:w="2154"/>
            <w:tcMar>
              <w:top w:w="80" w:type="dxa"/>
              <w:start w:w="110" w:type="dxa"/>
              <w:bottom w:w="80" w:type="dxa"/>
              <w:end w:w="110" w:type="dxa"/>
            </w:tcMar>
            <w:vAlign w:val="center"/>
            <w:shd w:fill="F4F6F9"/>
          </w:tcPr>
          <w:p>
            <w:pPr>
              <w:spacing w:after="20" w:line="240" w:lineRule="auto"/>
            </w:pPr>
            <w:r>
              <w:rPr>
                <w:sz w:val="17"/>
              </w:rPr>
              <w:t>Drone reveal; macro tool/crop; time-lapse 3 stage</w:t>
            </w:r>
          </w:p>
        </w:tc>
        <w:tc>
          <w:tcPr>
            <w:tcW w:type="dxa" w:w="1587"/>
            <w:tcMar>
              <w:top w:w="80" w:type="dxa"/>
              <w:start w:w="110" w:type="dxa"/>
              <w:bottom w:w="80" w:type="dxa"/>
              <w:end w:w="110" w:type="dxa"/>
            </w:tcMar>
            <w:vAlign w:val="center"/>
            <w:shd w:fill="F4F6F9"/>
          </w:tcPr>
          <w:p>
            <w:pPr>
              <w:spacing w:after="20" w:line="240" w:lineRule="auto"/>
            </w:pPr>
            <w:r>
              <w:rPr>
                <w:sz w:val="17"/>
              </w:rPr>
              <w:t>Nhạc mở rộng, nước, harvest chime</w:t>
            </w:r>
          </w:p>
        </w:tc>
        <w:tc>
          <w:tcPr>
            <w:tcW w:type="dxa" w:w="2268"/>
            <w:tcMar>
              <w:top w:w="80" w:type="dxa"/>
              <w:start w:w="110" w:type="dxa"/>
              <w:bottom w:w="80" w:type="dxa"/>
              <w:end w:w="110" w:type="dxa"/>
            </w:tcMar>
            <w:vAlign w:val="center"/>
            <w:shd w:fill="F4F6F9"/>
          </w:tcPr>
          <w:p>
            <w:pPr>
              <w:spacing w:after="20" w:line="240" w:lineRule="auto"/>
            </w:pPr>
            <w:r>
              <w:rPr>
                <w:sz w:val="17"/>
              </w:rPr>
              <w:t>VO: “Làm nông, học từ mới và xây dựng cuộc sống của riêng mình.”</w:t>
            </w:r>
          </w:p>
        </w:tc>
      </w:tr>
      <w:tr>
        <w:tc>
          <w:tcPr>
            <w:tcW w:type="dxa" w:w="1247"/>
            <w:tcMar>
              <w:top w:w="80" w:type="dxa"/>
              <w:start w:w="110" w:type="dxa"/>
              <w:bottom w:w="80" w:type="dxa"/>
              <w:end w:w="110" w:type="dxa"/>
            </w:tcMar>
            <w:vAlign w:val="center"/>
          </w:tcPr>
          <w:p>
            <w:pPr>
              <w:spacing w:after="20" w:line="240" w:lineRule="auto"/>
            </w:pPr>
            <w:r>
              <w:rPr>
                <w:sz w:val="17"/>
              </w:rPr>
              <w:t>01:06–01:13</w:t>
            </w:r>
          </w:p>
        </w:tc>
        <w:tc>
          <w:tcPr>
            <w:tcW w:type="dxa" w:w="2494"/>
            <w:tcMar>
              <w:top w:w="80" w:type="dxa"/>
              <w:start w:w="110" w:type="dxa"/>
              <w:bottom w:w="80" w:type="dxa"/>
              <w:end w:w="110" w:type="dxa"/>
            </w:tcMar>
            <w:vAlign w:val="center"/>
          </w:tcPr>
          <w:p>
            <w:pPr>
              <w:spacing w:after="20" w:line="240" w:lineRule="auto"/>
            </w:pPr>
            <w:r>
              <w:rPr>
                <w:sz w:val="17"/>
              </w:rPr>
              <w:t>Cho bò ăn, vuốt ve; sổ tay ghi từ/achievement</w:t>
            </w:r>
          </w:p>
        </w:tc>
        <w:tc>
          <w:tcPr>
            <w:tcW w:type="dxa" w:w="2154"/>
            <w:tcMar>
              <w:top w:w="80" w:type="dxa"/>
              <w:start w:w="110" w:type="dxa"/>
              <w:bottom w:w="80" w:type="dxa"/>
              <w:end w:w="110" w:type="dxa"/>
            </w:tcMar>
            <w:vAlign w:val="center"/>
          </w:tcPr>
          <w:p>
            <w:pPr>
              <w:spacing w:after="20" w:line="240" w:lineRule="auto"/>
            </w:pPr>
            <w:r>
              <w:rPr>
                <w:sz w:val="17"/>
              </w:rPr>
              <w:t>Low-angle thân thiện; cận thẻ động vật</w:t>
            </w:r>
          </w:p>
        </w:tc>
        <w:tc>
          <w:tcPr>
            <w:tcW w:type="dxa" w:w="1587"/>
            <w:tcMar>
              <w:top w:w="80" w:type="dxa"/>
              <w:start w:w="110" w:type="dxa"/>
              <w:bottom w:w="80" w:type="dxa"/>
              <w:end w:w="110" w:type="dxa"/>
            </w:tcMar>
            <w:vAlign w:val="center"/>
          </w:tcPr>
          <w:p>
            <w:pPr>
              <w:spacing w:after="20" w:line="240" w:lineRule="auto"/>
            </w:pPr>
            <w:r>
              <w:rPr>
                <w:sz w:val="17"/>
              </w:rPr>
              <w:t>Animal + page flip</w:t>
            </w:r>
          </w:p>
        </w:tc>
        <w:tc>
          <w:tcPr>
            <w:tcW w:type="dxa" w:w="2268"/>
            <w:tcMar>
              <w:top w:w="80" w:type="dxa"/>
              <w:start w:w="110" w:type="dxa"/>
              <w:bottom w:w="80" w:type="dxa"/>
              <w:end w:w="110" w:type="dxa"/>
            </w:tcMar>
            <w:vAlign w:val="center"/>
          </w:tcPr>
          <w:p>
            <w:pPr>
              <w:spacing w:after="20" w:line="240" w:lineRule="auto"/>
            </w:pPr>
            <w:r>
              <w:rPr>
                <w:sz w:val="17"/>
              </w:rPr>
              <w:t>Không lời; để hình kể chuyện.</w:t>
            </w:r>
          </w:p>
        </w:tc>
      </w:tr>
      <w:tr>
        <w:tc>
          <w:tcPr>
            <w:tcW w:type="dxa" w:w="1247"/>
            <w:tcMar>
              <w:top w:w="80" w:type="dxa"/>
              <w:start w:w="110" w:type="dxa"/>
              <w:bottom w:w="80" w:type="dxa"/>
              <w:end w:w="110" w:type="dxa"/>
            </w:tcMar>
            <w:vAlign w:val="center"/>
            <w:shd w:fill="F4F6F9"/>
          </w:tcPr>
          <w:p>
            <w:pPr>
              <w:spacing w:after="20" w:line="240" w:lineRule="auto"/>
            </w:pPr>
            <w:r>
              <w:rPr>
                <w:sz w:val="17"/>
              </w:rPr>
              <w:t>01:13–01:20</w:t>
            </w:r>
          </w:p>
        </w:tc>
        <w:tc>
          <w:tcPr>
            <w:tcW w:type="dxa" w:w="2494"/>
            <w:tcMar>
              <w:top w:w="80" w:type="dxa"/>
              <w:start w:w="110" w:type="dxa"/>
              <w:bottom w:w="80" w:type="dxa"/>
              <w:end w:w="110" w:type="dxa"/>
            </w:tcMar>
            <w:vAlign w:val="center"/>
            <w:shd w:fill="F4F6F9"/>
          </w:tcPr>
          <w:p>
            <w:pPr>
              <w:spacing w:after="20" w:line="240" w:lineRule="auto"/>
            </w:pPr>
            <w:r>
              <w:rPr>
                <w:sz w:val="17"/>
              </w:rPr>
              <w:t>Lớp học: JLPT/IELTS; kết quả và cô Morita</w:t>
            </w:r>
          </w:p>
        </w:tc>
        <w:tc>
          <w:tcPr>
            <w:tcW w:type="dxa" w:w="2154"/>
            <w:tcMar>
              <w:top w:w="80" w:type="dxa"/>
              <w:start w:w="110" w:type="dxa"/>
              <w:bottom w:w="80" w:type="dxa"/>
              <w:end w:w="110" w:type="dxa"/>
            </w:tcMar>
            <w:vAlign w:val="center"/>
            <w:shd w:fill="F4F6F9"/>
          </w:tcPr>
          <w:p>
            <w:pPr>
              <w:spacing w:after="20" w:line="240" w:lineRule="auto"/>
            </w:pPr>
            <w:r>
              <w:rPr>
                <w:sz w:val="17"/>
              </w:rPr>
              <w:t>Push-in bàn thi → scoreboard</w:t>
            </w:r>
          </w:p>
        </w:tc>
        <w:tc>
          <w:tcPr>
            <w:tcW w:type="dxa" w:w="1587"/>
            <w:tcMar>
              <w:top w:w="80" w:type="dxa"/>
              <w:start w:w="110" w:type="dxa"/>
              <w:bottom w:w="80" w:type="dxa"/>
              <w:end w:w="110" w:type="dxa"/>
            </w:tcMar>
            <w:vAlign w:val="center"/>
            <w:shd w:fill="F4F6F9"/>
          </w:tcPr>
          <w:p>
            <w:pPr>
              <w:spacing w:after="20" w:line="240" w:lineRule="auto"/>
            </w:pPr>
            <w:r>
              <w:rPr>
                <w:sz w:val="17"/>
              </w:rPr>
              <w:t>Nhạc giảm, success cue</w:t>
            </w:r>
          </w:p>
        </w:tc>
        <w:tc>
          <w:tcPr>
            <w:tcW w:type="dxa" w:w="2268"/>
            <w:tcMar>
              <w:top w:w="80" w:type="dxa"/>
              <w:start w:w="110" w:type="dxa"/>
              <w:bottom w:w="80" w:type="dxa"/>
              <w:end w:w="110" w:type="dxa"/>
            </w:tcMar>
            <w:vAlign w:val="center"/>
            <w:shd w:fill="F4F6F9"/>
          </w:tcPr>
          <w:p>
            <w:pPr>
              <w:spacing w:after="20" w:line="240" w:lineRule="auto"/>
            </w:pPr>
            <w:r>
              <w:rPr>
                <w:sz w:val="17"/>
              </w:rPr>
              <w:t>VO: “Luyện tập. Đo tiến bộ. Tiếp tục.”</w:t>
            </w:r>
          </w:p>
        </w:tc>
      </w:tr>
      <w:tr>
        <w:tc>
          <w:tcPr>
            <w:tcW w:type="dxa" w:w="1247"/>
            <w:tcMar>
              <w:top w:w="80" w:type="dxa"/>
              <w:start w:w="110" w:type="dxa"/>
              <w:bottom w:w="80" w:type="dxa"/>
              <w:end w:w="110" w:type="dxa"/>
            </w:tcMar>
            <w:vAlign w:val="center"/>
          </w:tcPr>
          <w:p>
            <w:pPr>
              <w:spacing w:after="20" w:line="240" w:lineRule="auto"/>
            </w:pPr>
            <w:r>
              <w:rPr>
                <w:sz w:val="17"/>
              </w:rPr>
              <w:t>01:20–01:26</w:t>
            </w:r>
          </w:p>
        </w:tc>
        <w:tc>
          <w:tcPr>
            <w:tcW w:type="dxa" w:w="2494"/>
            <w:tcMar>
              <w:top w:w="80" w:type="dxa"/>
              <w:start w:w="110" w:type="dxa"/>
              <w:bottom w:w="80" w:type="dxa"/>
              <w:end w:w="110" w:type="dxa"/>
            </w:tcMar>
            <w:vAlign w:val="center"/>
          </w:tcPr>
          <w:p>
            <w:pPr>
              <w:spacing w:after="20" w:line="240" w:lineRule="auto"/>
            </w:pPr>
            <w:r>
              <w:rPr>
                <w:sz w:val="17"/>
              </w:rPr>
              <w:t>Profile level/XP/Yen + Task Journal; trở về Hibari hoàng hôn</w:t>
            </w:r>
          </w:p>
        </w:tc>
        <w:tc>
          <w:tcPr>
            <w:tcW w:type="dxa" w:w="2154"/>
            <w:tcMar>
              <w:top w:w="80" w:type="dxa"/>
              <w:start w:w="110" w:type="dxa"/>
              <w:bottom w:w="80" w:type="dxa"/>
              <w:end w:w="110" w:type="dxa"/>
            </w:tcMar>
            <w:vAlign w:val="center"/>
          </w:tcPr>
          <w:p>
            <w:pPr>
              <w:spacing w:after="20" w:line="240" w:lineRule="auto"/>
            </w:pPr>
            <w:r>
              <w:rPr>
                <w:sz w:val="17"/>
              </w:rPr>
              <w:t>UI insert ngắn → wide sunset</w:t>
            </w:r>
          </w:p>
        </w:tc>
        <w:tc>
          <w:tcPr>
            <w:tcW w:type="dxa" w:w="1587"/>
            <w:tcMar>
              <w:top w:w="80" w:type="dxa"/>
              <w:start w:w="110" w:type="dxa"/>
              <w:bottom w:w="80" w:type="dxa"/>
              <w:end w:w="110" w:type="dxa"/>
            </w:tcMar>
            <w:vAlign w:val="center"/>
          </w:tcPr>
          <w:p>
            <w:pPr>
              <w:spacing w:after="20" w:line="240" w:lineRule="auto"/>
            </w:pPr>
            <w:r>
              <w:rPr>
                <w:sz w:val="17"/>
              </w:rPr>
              <w:t>Theme reprise</w:t>
            </w:r>
          </w:p>
        </w:tc>
        <w:tc>
          <w:tcPr>
            <w:tcW w:type="dxa" w:w="2268"/>
            <w:tcMar>
              <w:top w:w="80" w:type="dxa"/>
              <w:start w:w="110" w:type="dxa"/>
              <w:bottom w:w="80" w:type="dxa"/>
              <w:end w:w="110" w:type="dxa"/>
            </w:tcMar>
            <w:vAlign w:val="center"/>
          </w:tcPr>
          <w:p>
            <w:pPr>
              <w:spacing w:after="20" w:line="240" w:lineRule="auto"/>
            </w:pPr>
            <w:r>
              <w:rPr>
                <w:sz w:val="17"/>
              </w:rPr>
              <w:t>VO: “Từng việc nhỏ đưa bạn gần hơn tới cuộc sống mới.”</w:t>
            </w:r>
          </w:p>
        </w:tc>
      </w:tr>
      <w:tr>
        <w:tc>
          <w:tcPr>
            <w:tcW w:type="dxa" w:w="1247"/>
            <w:tcMar>
              <w:top w:w="80" w:type="dxa"/>
              <w:start w:w="110" w:type="dxa"/>
              <w:bottom w:w="80" w:type="dxa"/>
              <w:end w:w="110" w:type="dxa"/>
            </w:tcMar>
            <w:vAlign w:val="center"/>
            <w:shd w:fill="F4F6F9"/>
          </w:tcPr>
          <w:p>
            <w:pPr>
              <w:spacing w:after="20" w:line="240" w:lineRule="auto"/>
            </w:pPr>
            <w:r>
              <w:rPr>
                <w:sz w:val="17"/>
              </w:rPr>
              <w:t>01:26–01:30</w:t>
            </w:r>
          </w:p>
        </w:tc>
        <w:tc>
          <w:tcPr>
            <w:tcW w:type="dxa" w:w="2494"/>
            <w:tcMar>
              <w:top w:w="80" w:type="dxa"/>
              <w:start w:w="110" w:type="dxa"/>
              <w:bottom w:w="80" w:type="dxa"/>
              <w:end w:w="110" w:type="dxa"/>
            </w:tcMar>
            <w:vAlign w:val="center"/>
            <w:shd w:fill="F4F6F9"/>
          </w:tcPr>
          <w:p>
            <w:pPr>
              <w:spacing w:after="20" w:line="240" w:lineRule="auto"/>
            </w:pPr>
            <w:r>
              <w:rPr>
                <w:sz w:val="17"/>
              </w:rPr>
              <w:t>End card/logo</w:t>
            </w:r>
          </w:p>
        </w:tc>
        <w:tc>
          <w:tcPr>
            <w:tcW w:type="dxa" w:w="2154"/>
            <w:tcMar>
              <w:top w:w="80" w:type="dxa"/>
              <w:start w:w="110" w:type="dxa"/>
              <w:bottom w:w="80" w:type="dxa"/>
              <w:end w:w="110" w:type="dxa"/>
            </w:tcMar>
            <w:vAlign w:val="center"/>
            <w:shd w:fill="F4F6F9"/>
          </w:tcPr>
          <w:p>
            <w:pPr>
              <w:spacing w:after="20" w:line="240" w:lineRule="auto"/>
            </w:pPr>
            <w:r>
              <w:rPr>
                <w:sz w:val="17"/>
              </w:rPr>
              <w:t>Logo, tagline, thông tin Capstone</w:t>
            </w:r>
          </w:p>
        </w:tc>
        <w:tc>
          <w:tcPr>
            <w:tcW w:type="dxa" w:w="1587"/>
            <w:tcMar>
              <w:top w:w="80" w:type="dxa"/>
              <w:start w:w="110" w:type="dxa"/>
              <w:bottom w:w="80" w:type="dxa"/>
              <w:end w:w="110" w:type="dxa"/>
            </w:tcMar>
            <w:vAlign w:val="center"/>
            <w:shd w:fill="F4F6F9"/>
          </w:tcPr>
          <w:p>
            <w:pPr>
              <w:spacing w:after="20" w:line="240" w:lineRule="auto"/>
            </w:pPr>
            <w:r>
              <w:rPr>
                <w:sz w:val="17"/>
              </w:rPr>
              <w:t>Resolve</w:t>
            </w:r>
          </w:p>
        </w:tc>
        <w:tc>
          <w:tcPr>
            <w:tcW w:type="dxa" w:w="2268"/>
            <w:tcMar>
              <w:top w:w="80" w:type="dxa"/>
              <w:start w:w="110" w:type="dxa"/>
              <w:bottom w:w="80" w:type="dxa"/>
              <w:end w:w="110" w:type="dxa"/>
            </w:tcMar>
            <w:vAlign w:val="center"/>
            <w:shd w:fill="F4F6F9"/>
          </w:tcPr>
          <w:p>
            <w:pPr>
              <w:spacing w:after="20" w:line="240" w:lineRule="auto"/>
            </w:pPr>
            <w:r>
              <w:rPr>
                <w:sz w:val="17"/>
              </w:rPr>
              <w:t>Text: NihongoLife • ひばり町で、日本語と暮らそう</w:t>
            </w:r>
          </w:p>
        </w:tc>
      </w:tr>
    </w:tbl>
    <w:p/>
    <w:p>
      <w:pPr>
        <w:pStyle w:val="Heading1"/>
      </w:pPr>
      <w:r>
        <w:t>4. Quy chuẩn quay và hậu kỳ</w:t>
      </w:r>
    </w:p>
    <w:p>
      <w:pPr>
        <w:pStyle w:val="ListBullet"/>
        <w:ind w:left="397"/>
      </w:pPr>
      <w:r>
        <w:t>Khóa UI debug; dùng cùng font và palette; không quay nội dung Cambridge có bản quyền.</w:t>
      </w:r>
    </w:p>
    <w:p>
      <w:pPr>
        <w:pStyle w:val="ListBullet"/>
        <w:ind w:left="397"/>
      </w:pPr>
      <w:r>
        <w:t>Cinematic shot 5–8 giây; gameplay UI 2–4 giây; ưu tiên cut theo hành động và âm thanh.</w:t>
      </w:r>
    </w:p>
    <w:p>
      <w:pPr>
        <w:pStyle w:val="ListBullet"/>
        <w:ind w:left="397"/>
      </w:pPr>
      <w:r>
        <w:t>Không phóng đại online/co-op; nếu xuất hiện chỉ dùng title “hạ tầng tích hợp, đang tiếp tục kiểm chứng”.</w:t>
      </w:r>
    </w:p>
    <w:p>
      <w:pPr>
        <w:pStyle w:val="ListBullet"/>
        <w:ind w:left="397"/>
      </w:pPr>
      <w:r>
        <w:t>Thu gameplay 1080p hoặc cao hơn, bitrate đủ; tránh camera xuyên vật thể, NPC T-pose, text cắt và frame có prompt thừa.</w:t>
      </w:r>
    </w:p>
    <w:p>
      <w:pPr>
        <w:pStyle w:val="ListBullet"/>
        <w:ind w:left="397"/>
      </w:pPr>
      <w:r>
        <w:t>Âm lượng: VO rõ hơn nhạc khoảng 4–6 dB; duck nhạc khi có thoại Nhật; dùng phụ đề Việt ngắn.</w:t>
      </w:r>
    </w:p>
    <w:sectPr w:rsidR="00FC693F" w:rsidRPr="0006063C" w:rsidSect="00034616">
      <w:footerReference w:type="default" r:id="rId9"/>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NIHONGOLIFE •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