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Em lấy ví dụ Báo cáo tài chính Quý 2 năm 2025 của Cty Cổ phần Sữa Việt Nam (Vinamilk)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Dữ liệu tính DuPont 5 nhân tố (Giai đoạn 6 tháng)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Dựa trên: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90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Dữ liệu tính các chỉ số Rủi ro &amp; Giá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Rủi ro tài chính:Tỷ lệ Nợ/Vốn CSH = 16.938.921.102.612 / 30.523.272.943.369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22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⇒ Tỷ lệ này khoảng 0,55, cho thấy cấu trúc vốn của VNM rất an toàn.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Chỉ số Giá (P/B): * Vốn CSH: 30.523.272.943.369VND.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3.Kết luận: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7835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70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Trong 5 nhân tố của mô hình DuPont, nhân tố (3) Biên lợi nhuận hoạt động (EBIT Margin) là yếu tố gây ảnh hưởng tiêu cực và mạnh mẽ nhất đến ROE.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Sụt giảm biên lợi nhuận: Chỉ số này giảm mạnh nhất (-9,73%), từ mức 23,34% xuống chỉ còn 21,07%.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⇒Hiệu quả quản trị chi phí để tạo ra lợi nhuận (Profitability) đang là "nút thắt" chính làm giảm ROE.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