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ĐỀ ÁN CÁ NHÂN: PHÂN TÍCH TÀI CHÍNH ĐỊNH LƯỢNG</w:t>
      </w:r>
    </w:p>
    <w:p>
      <w:pPr>
        <w:jc w:val="center"/>
      </w:pPr>
      <w:r>
        <w:rPr>
          <w:b/>
          <w:sz w:val="28"/>
        </w:rPr>
        <w:t>Họ và tên: Mạnh Hồ Kiên</w:t>
        <w:br/>
        <w:t>MSSV: 33241026046</w:t>
        <w:br/>
        <w:t>Giảng viên hướng dẫn: Lê Văn Lâm</w:t>
      </w:r>
    </w:p>
    <w:p>
      <w:r>
        <w:br w:type="page"/>
      </w:r>
    </w:p>
    <w:p>
      <w:pPr>
        <w:pStyle w:val="Heading1"/>
      </w:pPr>
      <w:r>
        <w:t>CÂU 1: PHÂN TÍCH KỸ THUẬT (CASE STUDY: TCB)</w:t>
      </w:r>
    </w:p>
    <w:p>
      <w:r>
        <w:t>Sử dụng bộ dữ liệu OHLCV của Techcombank (TCB) trong giai đoạn 2024-2026, nghiên cứu thực hiện giải mã các tín hiệu xung lực thông qua hệ thống chỉ báo đa lớp.</w:t>
      </w:r>
    </w:p>
    <w:p>
      <w:pPr>
        <w:jc w:val="center"/>
      </w:pPr>
      <w:r>
        <w:drawing>
          <wp:inline xmlns:a="http://schemas.openxmlformats.org/drawingml/2006/main" xmlns:pic="http://schemas.openxmlformats.org/drawingml/2006/picture">
            <wp:extent cx="5486400" cy="5486400"/>
            <wp:docPr id="1" name="Picture 1"/>
            <wp:cNvGraphicFramePr>
              <a:graphicFrameLocks noChangeAspect="1"/>
            </wp:cNvGraphicFramePr>
            <a:graphic>
              <a:graphicData uri="http://schemas.openxmlformats.org/drawingml/2006/picture">
                <pic:pic>
                  <pic:nvPicPr>
                    <pic:cNvPr id="0" name="Q1_PTKT_TCB.png"/>
                    <pic:cNvPicPr/>
                  </pic:nvPicPr>
                  <pic:blipFill>
                    <a:blip r:embed="rId9"/>
                    <a:stretch>
                      <a:fillRect/>
                    </a:stretch>
                  </pic:blipFill>
                  <pic:spPr>
                    <a:xfrm>
                      <a:off x="0" y="0"/>
                      <a:ext cx="5486400" cy="5486400"/>
                    </a:xfrm>
                    <a:prstGeom prst="rect"/>
                  </pic:spPr>
                </pic:pic>
              </a:graphicData>
            </a:graphic>
          </wp:inline>
        </w:drawing>
      </w:r>
    </w:p>
    <w:p>
      <w:r>
        <w:t>Dựa trên biểu đồ, TCB đang vận hành trong một cấu trúc Uptrend bền vững. Đường giá duy trì vị thế phía trên SMA(20), xác nhận xu hướng tăng trung hạn. Chỉ báo MACD và RSI cho thấy dòng tiền thông minh đang thẩm thấu tốt vào cổ phiếu, duy trì đà tăng trưởng mà chưa xuất hiện dấu hiệu quá mua cực đoan.</w:t>
      </w:r>
    </w:p>
    <w:p>
      <w:pPr>
        <w:pStyle w:val="Heading1"/>
      </w:pPr>
      <w:r>
        <w:t>CÂU 2: QUẢN TRỊ DANH MỤC VÀ KIỂM ĐỊNH CAPM</w:t>
      </w:r>
    </w:p>
    <w:p>
      <w:pPr>
        <w:pStyle w:val="Heading2"/>
      </w:pPr>
      <w:r>
        <w:t>(A) Đặc tính thống kê và Tính chuẩn</w:t>
      </w:r>
    </w:p>
    <w:p>
      <w:r>
        <w:t>Bảng thống kê mô tả cho 5 mã cổ phiếu (TCB, MWG, REE, GAS, HPG):</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Unnamed: 0</w:t>
            </w:r>
          </w:p>
        </w:tc>
        <w:tc>
          <w:tcPr>
            <w:tcW w:type="dxa" w:w="1440"/>
          </w:tcPr>
          <w:p>
            <w:r>
              <w:t>TCB</w:t>
            </w:r>
          </w:p>
        </w:tc>
        <w:tc>
          <w:tcPr>
            <w:tcW w:type="dxa" w:w="1440"/>
          </w:tcPr>
          <w:p>
            <w:r>
              <w:t>MWG</w:t>
            </w:r>
          </w:p>
        </w:tc>
        <w:tc>
          <w:tcPr>
            <w:tcW w:type="dxa" w:w="1440"/>
          </w:tcPr>
          <w:p>
            <w:r>
              <w:t>REE</w:t>
            </w:r>
          </w:p>
        </w:tc>
        <w:tc>
          <w:tcPr>
            <w:tcW w:type="dxa" w:w="1440"/>
          </w:tcPr>
          <w:p>
            <w:r>
              <w:t>GAS</w:t>
            </w:r>
          </w:p>
        </w:tc>
        <w:tc>
          <w:tcPr>
            <w:tcW w:type="dxa" w:w="1440"/>
          </w:tcPr>
          <w:p>
            <w:r>
              <w:t>HPG</w:t>
            </w:r>
          </w:p>
        </w:tc>
      </w:tr>
      <w:tr>
        <w:tc>
          <w:tcPr>
            <w:tcW w:type="dxa" w:w="1440"/>
          </w:tcPr>
          <w:p>
            <w:r>
              <w:t>Mean</w:t>
            </w:r>
          </w:p>
        </w:tc>
        <w:tc>
          <w:tcPr>
            <w:tcW w:type="dxa" w:w="1440"/>
          </w:tcPr>
          <w:p>
            <w:r>
              <w:t>0.0003</w:t>
            </w:r>
          </w:p>
        </w:tc>
        <w:tc>
          <w:tcPr>
            <w:tcW w:type="dxa" w:w="1440"/>
          </w:tcPr>
          <w:p>
            <w:r>
              <w:t>0.0005</w:t>
            </w:r>
          </w:p>
        </w:tc>
        <w:tc>
          <w:tcPr>
            <w:tcW w:type="dxa" w:w="1440"/>
          </w:tcPr>
          <w:p>
            <w:r>
              <w:t>0.0009</w:t>
            </w:r>
          </w:p>
        </w:tc>
        <w:tc>
          <w:tcPr>
            <w:tcW w:type="dxa" w:w="1440"/>
          </w:tcPr>
          <w:p>
            <w:r>
              <w:t>0.0008</w:t>
            </w:r>
          </w:p>
        </w:tc>
        <w:tc>
          <w:tcPr>
            <w:tcW w:type="dxa" w:w="1440"/>
          </w:tcPr>
          <w:p>
            <w:r>
              <w:t>0.0007</w:t>
            </w:r>
          </w:p>
        </w:tc>
      </w:tr>
      <w:tr>
        <w:tc>
          <w:tcPr>
            <w:tcW w:type="dxa" w:w="1440"/>
          </w:tcPr>
          <w:p>
            <w:r>
              <w:t>SD</w:t>
            </w:r>
          </w:p>
        </w:tc>
        <w:tc>
          <w:tcPr>
            <w:tcW w:type="dxa" w:w="1440"/>
          </w:tcPr>
          <w:p>
            <w:r>
              <w:t>0.0212</w:t>
            </w:r>
          </w:p>
        </w:tc>
        <w:tc>
          <w:tcPr>
            <w:tcW w:type="dxa" w:w="1440"/>
          </w:tcPr>
          <w:p>
            <w:r>
              <w:t>0.0175</w:t>
            </w:r>
          </w:p>
        </w:tc>
        <w:tc>
          <w:tcPr>
            <w:tcW w:type="dxa" w:w="1440"/>
          </w:tcPr>
          <w:p>
            <w:r>
              <w:t>0.0199</w:t>
            </w:r>
          </w:p>
        </w:tc>
        <w:tc>
          <w:tcPr>
            <w:tcW w:type="dxa" w:w="1440"/>
          </w:tcPr>
          <w:p>
            <w:r>
              <w:t>0.0168</w:t>
            </w:r>
          </w:p>
        </w:tc>
        <w:tc>
          <w:tcPr>
            <w:tcW w:type="dxa" w:w="1440"/>
          </w:tcPr>
          <w:p>
            <w:r>
              <w:t>0.0186</w:t>
            </w:r>
          </w:p>
        </w:tc>
      </w:tr>
      <w:tr>
        <w:tc>
          <w:tcPr>
            <w:tcW w:type="dxa" w:w="1440"/>
          </w:tcPr>
          <w:p>
            <w:r>
              <w:t>Variance</w:t>
            </w:r>
          </w:p>
        </w:tc>
        <w:tc>
          <w:tcPr>
            <w:tcW w:type="dxa" w:w="1440"/>
          </w:tcPr>
          <w:p>
            <w:r>
              <w:t>0.0004</w:t>
            </w:r>
          </w:p>
        </w:tc>
        <w:tc>
          <w:tcPr>
            <w:tcW w:type="dxa" w:w="1440"/>
          </w:tcPr>
          <w:p>
            <w:r>
              <w:t>0.0003</w:t>
            </w:r>
          </w:p>
        </w:tc>
        <w:tc>
          <w:tcPr>
            <w:tcW w:type="dxa" w:w="1440"/>
          </w:tcPr>
          <w:p>
            <w:r>
              <w:t>0.0004</w:t>
            </w:r>
          </w:p>
        </w:tc>
        <w:tc>
          <w:tcPr>
            <w:tcW w:type="dxa" w:w="1440"/>
          </w:tcPr>
          <w:p>
            <w:r>
              <w:t>0.0003</w:t>
            </w:r>
          </w:p>
        </w:tc>
        <w:tc>
          <w:tcPr>
            <w:tcW w:type="dxa" w:w="1440"/>
          </w:tcPr>
          <w:p>
            <w:r>
              <w:t>0.0003</w:t>
            </w:r>
          </w:p>
        </w:tc>
      </w:tr>
      <w:tr>
        <w:tc>
          <w:tcPr>
            <w:tcW w:type="dxa" w:w="1440"/>
          </w:tcPr>
          <w:p>
            <w:r>
              <w:t>Skewness</w:t>
            </w:r>
          </w:p>
        </w:tc>
        <w:tc>
          <w:tcPr>
            <w:tcW w:type="dxa" w:w="1440"/>
          </w:tcPr>
          <w:p>
            <w:r>
              <w:t>0.1054</w:t>
            </w:r>
          </w:p>
        </w:tc>
        <w:tc>
          <w:tcPr>
            <w:tcW w:type="dxa" w:w="1440"/>
          </w:tcPr>
          <w:p>
            <w:r>
              <w:t>-0.0679</w:t>
            </w:r>
          </w:p>
        </w:tc>
        <w:tc>
          <w:tcPr>
            <w:tcW w:type="dxa" w:w="1440"/>
          </w:tcPr>
          <w:p>
            <w:r>
              <w:t>0.0372</w:t>
            </w:r>
          </w:p>
        </w:tc>
        <w:tc>
          <w:tcPr>
            <w:tcW w:type="dxa" w:w="1440"/>
          </w:tcPr>
          <w:p>
            <w:r>
              <w:t>-0.0258</w:t>
            </w:r>
          </w:p>
        </w:tc>
        <w:tc>
          <w:tcPr>
            <w:tcW w:type="dxa" w:w="1440"/>
          </w:tcPr>
          <w:p>
            <w:r>
              <w:t>-0.2087</w:t>
            </w:r>
          </w:p>
        </w:tc>
      </w:tr>
      <w:tr>
        <w:tc>
          <w:tcPr>
            <w:tcW w:type="dxa" w:w="1440"/>
          </w:tcPr>
          <w:p>
            <w:r>
              <w:t>Kurtosis</w:t>
            </w:r>
          </w:p>
        </w:tc>
        <w:tc>
          <w:tcPr>
            <w:tcW w:type="dxa" w:w="1440"/>
          </w:tcPr>
          <w:p>
            <w:r>
              <w:t>4.0251</w:t>
            </w:r>
          </w:p>
        </w:tc>
        <w:tc>
          <w:tcPr>
            <w:tcW w:type="dxa" w:w="1440"/>
          </w:tcPr>
          <w:p>
            <w:r>
              <w:t>4.0608</w:t>
            </w:r>
          </w:p>
        </w:tc>
        <w:tc>
          <w:tcPr>
            <w:tcW w:type="dxa" w:w="1440"/>
          </w:tcPr>
          <w:p>
            <w:r>
              <w:t>2.2771</w:t>
            </w:r>
          </w:p>
        </w:tc>
        <w:tc>
          <w:tcPr>
            <w:tcW w:type="dxa" w:w="1440"/>
          </w:tcPr>
          <w:p>
            <w:r>
              <w:t>3.7264</w:t>
            </w:r>
          </w:p>
        </w:tc>
        <w:tc>
          <w:tcPr>
            <w:tcW w:type="dxa" w:w="1440"/>
          </w:tcPr>
          <w:p>
            <w:r>
              <w:t>2.8034</w:t>
            </w:r>
          </w:p>
        </w:tc>
      </w:tr>
    </w:tbl>
    <w:p>
      <w:pPr>
        <w:jc w:val="center"/>
      </w:pPr>
      <w:r>
        <w:drawing>
          <wp:inline xmlns:a="http://schemas.openxmlformats.org/drawingml/2006/main" xmlns:pic="http://schemas.openxmlformats.org/drawingml/2006/picture">
            <wp:extent cx="4114800" cy="3086100"/>
            <wp:docPr id="2" name="Picture 2"/>
            <wp:cNvGraphicFramePr>
              <a:graphicFrameLocks noChangeAspect="1"/>
            </wp:cNvGraphicFramePr>
            <a:graphic>
              <a:graphicData uri="http://schemas.openxmlformats.org/drawingml/2006/picture">
                <pic:pic>
                  <pic:nvPicPr>
                    <pic:cNvPr id="0" name="Q2A_Histogram.png"/>
                    <pic:cNvPicPr/>
                  </pic:nvPicPr>
                  <pic:blipFill>
                    <a:blip r:embed="rId10"/>
                    <a:stretch>
                      <a:fillRect/>
                    </a:stretch>
                  </pic:blipFill>
                  <pic:spPr>
                    <a:xfrm>
                      <a:off x="0" y="0"/>
                      <a:ext cx="4114800" cy="3086100"/>
                    </a:xfrm>
                    <a:prstGeom prst="rect"/>
                  </pic:spPr>
                </pic:pic>
              </a:graphicData>
            </a:graphic>
          </wp:inline>
        </w:drawing>
      </w:r>
    </w:p>
    <w:p>
      <w:r>
        <w:t>Nhận xét: Hệ số Kurtosis dương (Excess Kurtosis &gt; 0) khẳng định hiện tượng đuôi dày (Fat-tails). Điều này bác bỏ giả thuyết phân phối chuẩn Gaussian, hàm ý thị trường tiềm ẩn rủi ro cực đoan cao.</w:t>
      </w:r>
    </w:p>
    <w:p>
      <w:pPr>
        <w:pStyle w:val="Heading2"/>
      </w:pPr>
      <w:r>
        <w:t>(B) Lý thuyết danh mục Markowitz</w:t>
      </w:r>
    </w:p>
    <w:p>
      <w:r>
        <w:t>Thông qua ma trận hiệp phương sai, nghiên cứu xác lập tỷ trọng MVP cho cặp TCB-MWG nhằm tối ưu hóa biên độ an toàn cho nhà đầu tư. Việc đa dạng hóa sang 5 ngành giúp giảm thiểu rủi ro phi hệ thống một cách hiệu quả.</w:t>
      </w:r>
    </w:p>
    <w:p>
      <w:pPr>
        <w:pStyle w:val="Heading2"/>
      </w:pPr>
      <w:r>
        <w:t>(C) Mô hình CAPM và Đường SML</w:t>
      </w:r>
    </w:p>
    <w:p>
      <w:pPr>
        <w:jc w:val="center"/>
      </w:pPr>
      <w:r>
        <w:drawing>
          <wp:inline xmlns:a="http://schemas.openxmlformats.org/drawingml/2006/main" xmlns:pic="http://schemas.openxmlformats.org/drawingml/2006/picture">
            <wp:extent cx="4572000" cy="2743200"/>
            <wp:docPr id="3" name="Picture 3"/>
            <wp:cNvGraphicFramePr>
              <a:graphicFrameLocks noChangeAspect="1"/>
            </wp:cNvGraphicFramePr>
            <a:graphic>
              <a:graphicData uri="http://schemas.openxmlformats.org/drawingml/2006/picture">
                <pic:pic>
                  <pic:nvPicPr>
                    <pic:cNvPr id="0" name="Q2C_SML.png"/>
                    <pic:cNvPicPr/>
                  </pic:nvPicPr>
                  <pic:blipFill>
                    <a:blip r:embed="rId11"/>
                    <a:stretch>
                      <a:fillRect/>
                    </a:stretch>
                  </pic:blipFill>
                  <pic:spPr>
                    <a:xfrm>
                      <a:off x="0" y="0"/>
                      <a:ext cx="4572000" cy="2743200"/>
                    </a:xfrm>
                    <a:prstGeom prst="rect"/>
                  </pic:spPr>
                </pic:pic>
              </a:graphicData>
            </a:graphic>
          </wp:inline>
        </w:drawing>
      </w:r>
    </w:p>
    <w:p>
      <w:r>
        <w:t>Kiểm định CAPM cho thấy Beta của TCB phản ánh đúng tính chất của một cổ phiếu Aggressive. Kết quả hồi quy OLS xác nhận hệ số Alpha không có ý nghĩa thống kê (p &gt; 0.05), cho thấy cổ phiếu được định giá sát với giá trị lý thuyết của mô hình.</w:t>
      </w:r>
    </w:p>
    <w:p>
      <w:r>
        <w:br w:type="page"/>
      </w:r>
    </w:p>
    <w:p>
      <w:pPr>
        <w:pStyle w:val="Heading1"/>
      </w:pPr>
      <w:r>
        <w:t>PHỤ LỤC: MÃ NGUỒN R (Dành cho kiểm định)</w:t>
      </w:r>
    </w:p>
    <w:p>
      <w:r>
        <w:rPr>
          <w:rFonts w:ascii="Courier New" w:hAnsi="Courier New"/>
          <w:sz w:val="20"/>
        </w:rPr>
        <w:t>library(quantmod)</w:t>
        <w:br/>
        <w:t>symbols &lt;- c('TCB.VN', 'MWG.VN', 'REE.VN', 'GAS.VN', 'HPG.VN')</w:t>
        <w:br/>
        <w:t>getSymbols(symbols, src='yahoo', from='2024-04-10', to='2026-04-10')</w:t>
        <w:br/>
        <w:t>R &lt;- na.omit(diff(log(Cl(merge(TCB.VN, MWG.VN, REE.VN, GAS.VN, HPG.VN)))))</w:t>
        <w:br/>
        <w:t>chartSeries(TCB.VN); addMACD(); addRSI(); addBBands()</w:t>
        <w:br/>
        <w:t>fit &lt;- lm((R[,1]-0.03/250) ~ (rowMeans(R)-0.03/250))</w:t>
        <w:br/>
        <w:t>summary(fit)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