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LAB03</w:t>
        <w:br/>
        <w:t>CÁC GIẢI THUẬT PHÂN CỤM CƠ BẢN</w:t>
      </w:r>
    </w:p>
    <w:p>
      <w:pPr>
        <w:jc w:val="center"/>
      </w:pPr>
      <w:r>
        <w:t>Nội dung: K-Means, phân cụm đa cấp, đánh giá mức độ ứng dụng</w:t>
      </w:r>
    </w:p>
    <w:p>
      <w:r>
        <w:rPr>
          <w:b/>
        </w:rPr>
        <w:t xml:space="preserve">Tóm tắt: </w:t>
      </w:r>
      <w:r>
        <w:t>Báo cáo triển khai phân cụm trên Penguins và Online Retail. Penguins dùng để minh họa phân nhóm theo đặc trưng hình thái; Online Retail được chuyển thành RFM để phân nhóm khách hàng phục vụ marketing và CRM.</w:t>
      </w:r>
    </w:p>
    <w:p>
      <w:pPr>
        <w:pStyle w:val="Heading1"/>
      </w:pPr>
      <w:r>
        <w:t>1. Mục tiêu và phương pháp</w:t>
      </w:r>
    </w:p>
    <w:p>
      <w:r>
        <w:t>Lab03 tập trung vào K-Means và phân cụm đa cấp. Các bước chính gồm tiền xử lý dữ liệu, chuẩn hóa, thử nhiều số cụm K, đánh giá bằng Elbow/Silhouette và diễn giải kết quả theo khả năng ứng dụng thực tế.</w:t>
      </w:r>
    </w:p>
    <w:p>
      <w:r>
        <w:t>Vì phân cụm là học không giám sát, báo cáo không dùng accuracy mà dùng Silhouette, Davies-Bouldin, Calinski-Harabasz và phân tích ý nghĩa cụm.</w:t>
      </w:r>
    </w:p>
    <w:p>
      <w:pPr>
        <w:pStyle w:val="Heading1"/>
      </w:pPr>
      <w:r>
        <w:t>2. Dataset Penguins - Phân cụm chim cánh cụt</w:t>
      </w:r>
    </w:p>
    <w:p>
      <w:r>
        <w:t>Dữ liệu ban đầu có 344 dòng, sau làm sạch còn 334 dòng. Đặc trưng dùng cho mô hình: culmen_length_mm, culmen_depth_mm, flipper_length_mm, body_mass_g, sex_num. Dataset hiện tại không có cột species nên báo cáo chỉ đánh giá cấu trúc cụm, không đối chiếu nhãn loài thật.</w:t>
      </w:r>
    </w:p>
    <w:p>
      <w:r>
        <w:t>K tốt nhất theo Silhouette khi quét 2-8 là 7. Tuy nhiên báo cáo chọn K=3 làm cấu hình chính để bám sát bài toán phân cụm loài chim cánh cụt.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sz w:val="16"/>
              </w:rPr>
              <w:t>k</w:t>
            </w:r>
          </w:p>
        </w:tc>
        <w:tc>
          <w:tcPr>
            <w:tcW w:type="dxa" w:w="3389"/>
            <w:shd w:fill="D9EAF7"/>
            <w:vAlign w:val="center"/>
          </w:tcPr>
          <w:p>
            <w:r>
              <w:rPr>
                <w:sz w:val="16"/>
              </w:rPr>
              <w:t>inertia</w:t>
            </w:r>
          </w:p>
        </w:tc>
        <w:tc>
          <w:tcPr>
            <w:tcW w:type="dxa" w:w="3389"/>
            <w:shd w:fill="D9EAF7"/>
            <w:vAlign w:val="center"/>
          </w:tcPr>
          <w:p>
            <w:r>
              <w:rPr>
                <w:sz w:val="16"/>
              </w:rPr>
              <w:t>silhouette</w:t>
            </w:r>
          </w:p>
        </w:tc>
      </w:tr>
      <w:tr>
        <w:tc>
          <w:tcPr>
            <w:tcW w:type="dxa" w:w="3389"/>
            <w:vAlign w:val="center"/>
          </w:tcPr>
          <w:p>
            <w:r>
              <w:rPr>
                <w:sz w:val="16"/>
              </w:rPr>
              <w:t>2.0000</w:t>
            </w:r>
          </w:p>
        </w:tc>
        <w:tc>
          <w:tcPr>
            <w:tcW w:type="dxa" w:w="3389"/>
            <w:vAlign w:val="center"/>
          </w:tcPr>
          <w:p>
            <w:r>
              <w:rPr>
                <w:sz w:val="16"/>
              </w:rPr>
              <w:t>1,139.61</w:t>
            </w:r>
          </w:p>
        </w:tc>
        <w:tc>
          <w:tcPr>
            <w:tcW w:type="dxa" w:w="3389"/>
            <w:vAlign w:val="center"/>
          </w:tcPr>
          <w:p>
            <w:r>
              <w:rPr>
                <w:sz w:val="16"/>
              </w:rPr>
              <w:t>0.3860</w:t>
            </w:r>
          </w:p>
        </w:tc>
      </w:tr>
      <w:tr>
        <w:tc>
          <w:tcPr>
            <w:tcW w:type="dxa" w:w="3389"/>
            <w:vAlign w:val="center"/>
          </w:tcPr>
          <w:p>
            <w:r>
              <w:rPr>
                <w:sz w:val="16"/>
              </w:rPr>
              <w:t>3.0000</w:t>
            </w:r>
          </w:p>
        </w:tc>
        <w:tc>
          <w:tcPr>
            <w:tcW w:type="dxa" w:w="3389"/>
            <w:vAlign w:val="center"/>
          </w:tcPr>
          <w:p>
            <w:r>
              <w:rPr>
                <w:sz w:val="16"/>
              </w:rPr>
              <w:t>805.10</w:t>
            </w:r>
          </w:p>
        </w:tc>
        <w:tc>
          <w:tcPr>
            <w:tcW w:type="dxa" w:w="3389"/>
            <w:vAlign w:val="center"/>
          </w:tcPr>
          <w:p>
            <w:r>
              <w:rPr>
                <w:sz w:val="16"/>
              </w:rPr>
              <w:t>0.3968</w:t>
            </w:r>
          </w:p>
        </w:tc>
      </w:tr>
      <w:tr>
        <w:tc>
          <w:tcPr>
            <w:tcW w:type="dxa" w:w="3389"/>
            <w:vAlign w:val="center"/>
          </w:tcPr>
          <w:p>
            <w:r>
              <w:rPr>
                <w:sz w:val="16"/>
              </w:rPr>
              <w:t>4.0000</w:t>
            </w:r>
          </w:p>
        </w:tc>
        <w:tc>
          <w:tcPr>
            <w:tcW w:type="dxa" w:w="3389"/>
            <w:vAlign w:val="center"/>
          </w:tcPr>
          <w:p>
            <w:r>
              <w:rPr>
                <w:sz w:val="16"/>
              </w:rPr>
              <w:t>506.16</w:t>
            </w:r>
          </w:p>
        </w:tc>
        <w:tc>
          <w:tcPr>
            <w:tcW w:type="dxa" w:w="3389"/>
            <w:vAlign w:val="center"/>
          </w:tcPr>
          <w:p>
            <w:r>
              <w:rPr>
                <w:sz w:val="16"/>
              </w:rPr>
              <w:t>0.4486</w:t>
            </w:r>
          </w:p>
        </w:tc>
      </w:tr>
      <w:tr>
        <w:tc>
          <w:tcPr>
            <w:tcW w:type="dxa" w:w="3389"/>
            <w:vAlign w:val="center"/>
          </w:tcPr>
          <w:p>
            <w:r>
              <w:rPr>
                <w:sz w:val="16"/>
              </w:rPr>
              <w:t>5.0000</w:t>
            </w:r>
          </w:p>
        </w:tc>
        <w:tc>
          <w:tcPr>
            <w:tcW w:type="dxa" w:w="3389"/>
            <w:vAlign w:val="center"/>
          </w:tcPr>
          <w:p>
            <w:r>
              <w:rPr>
                <w:sz w:val="16"/>
              </w:rPr>
              <w:t>325.35</w:t>
            </w:r>
          </w:p>
        </w:tc>
        <w:tc>
          <w:tcPr>
            <w:tcW w:type="dxa" w:w="3389"/>
            <w:vAlign w:val="center"/>
          </w:tcPr>
          <w:p>
            <w:r>
              <w:rPr>
                <w:sz w:val="16"/>
              </w:rPr>
              <w:t>0.5251</w:t>
            </w:r>
          </w:p>
        </w:tc>
      </w:tr>
      <w:tr>
        <w:tc>
          <w:tcPr>
            <w:tcW w:type="dxa" w:w="3389"/>
            <w:vAlign w:val="center"/>
          </w:tcPr>
          <w:p>
            <w:r>
              <w:rPr>
                <w:sz w:val="16"/>
              </w:rPr>
              <w:t>6.0000</w:t>
            </w:r>
          </w:p>
        </w:tc>
        <w:tc>
          <w:tcPr>
            <w:tcW w:type="dxa" w:w="3389"/>
            <w:vAlign w:val="center"/>
          </w:tcPr>
          <w:p>
            <w:r>
              <w:rPr>
                <w:sz w:val="16"/>
              </w:rPr>
              <w:t>231.11</w:t>
            </w:r>
          </w:p>
        </w:tc>
        <w:tc>
          <w:tcPr>
            <w:tcW w:type="dxa" w:w="3389"/>
            <w:vAlign w:val="center"/>
          </w:tcPr>
          <w:p>
            <w:r>
              <w:rPr>
                <w:sz w:val="16"/>
              </w:rPr>
              <w:t>0.5496</w:t>
            </w:r>
          </w:p>
        </w:tc>
      </w:tr>
      <w:tr>
        <w:tc>
          <w:tcPr>
            <w:tcW w:type="dxa" w:w="3389"/>
            <w:vAlign w:val="center"/>
          </w:tcPr>
          <w:p>
            <w:r>
              <w:rPr>
                <w:sz w:val="16"/>
              </w:rPr>
              <w:t>7.0000</w:t>
            </w:r>
          </w:p>
        </w:tc>
        <w:tc>
          <w:tcPr>
            <w:tcW w:type="dxa" w:w="3389"/>
            <w:vAlign w:val="center"/>
          </w:tcPr>
          <w:p>
            <w:r>
              <w:rPr>
                <w:sz w:val="16"/>
              </w:rPr>
              <w:t>166.17</w:t>
            </w:r>
          </w:p>
        </w:tc>
        <w:tc>
          <w:tcPr>
            <w:tcW w:type="dxa" w:w="3389"/>
            <w:vAlign w:val="center"/>
          </w:tcPr>
          <w:p>
            <w:r>
              <w:rPr>
                <w:sz w:val="16"/>
              </w:rPr>
              <w:t>0.5611</w:t>
            </w:r>
          </w:p>
        </w:tc>
      </w:tr>
      <w:tr>
        <w:tc>
          <w:tcPr>
            <w:tcW w:type="dxa" w:w="3389"/>
            <w:vAlign w:val="center"/>
          </w:tcPr>
          <w:p>
            <w:r>
              <w:rPr>
                <w:sz w:val="16"/>
              </w:rPr>
              <w:t>8.0000</w:t>
            </w:r>
          </w:p>
        </w:tc>
        <w:tc>
          <w:tcPr>
            <w:tcW w:type="dxa" w:w="3389"/>
            <w:vAlign w:val="center"/>
          </w:tcPr>
          <w:p>
            <w:r>
              <w:rPr>
                <w:sz w:val="16"/>
              </w:rPr>
              <w:t>152.97</w:t>
            </w:r>
          </w:p>
        </w:tc>
        <w:tc>
          <w:tcPr>
            <w:tcW w:type="dxa" w:w="3389"/>
            <w:vAlign w:val="center"/>
          </w:tcPr>
          <w:p>
            <w:r>
              <w:rPr>
                <w:sz w:val="16"/>
              </w:rPr>
              <w:t>0.5178</w:t>
            </w:r>
          </w:p>
        </w:tc>
      </w:tr>
    </w:tbl>
    <w:p>
      <w:pPr>
        <w:jc w:val="center"/>
      </w:pPr>
      <w:r>
        <w:drawing>
          <wp:inline xmlns:a="http://schemas.openxmlformats.org/drawingml/2006/main" xmlns:pic="http://schemas.openxmlformats.org/drawingml/2006/picture">
            <wp:extent cx="5577840" cy="3346704"/>
            <wp:docPr id="1" name="Picture 1"/>
            <wp:cNvGraphicFramePr>
              <a:graphicFrameLocks noChangeAspect="1"/>
            </wp:cNvGraphicFramePr>
            <a:graphic>
              <a:graphicData uri="http://schemas.openxmlformats.org/drawingml/2006/picture">
                <pic:pic>
                  <pic:nvPicPr>
                    <pic:cNvPr id="0" name="penguins_elbow_silhouette.png"/>
                    <pic:cNvPicPr/>
                  </pic:nvPicPr>
                  <pic:blipFill>
                    <a:blip r:embed="rId9"/>
                    <a:stretch>
                      <a:fillRect/>
                    </a:stretch>
                  </pic:blipFill>
                  <pic:spPr>
                    <a:xfrm>
                      <a:off x="0" y="0"/>
                      <a:ext cx="5577840" cy="3346704"/>
                    </a:xfrm>
                    <a:prstGeom prst="rect"/>
                  </pic:spPr>
                </pic:pic>
              </a:graphicData>
            </a:graphic>
          </wp:inline>
        </w:drawing>
      </w:r>
    </w:p>
    <w:p>
      <w:pPr>
        <w:jc w:val="center"/>
      </w:pPr>
      <w:r>
        <w:rPr>
          <w:i/>
        </w:rPr>
        <w:t>Hình 1. Penguins - Elbow và Silhouette theo K</w:t>
      </w:r>
    </w:p>
    <w:p>
      <w:pPr>
        <w:jc w:val="center"/>
      </w:pPr>
      <w:r>
        <w:drawing>
          <wp:inline xmlns:a="http://schemas.openxmlformats.org/drawingml/2006/main" xmlns:pic="http://schemas.openxmlformats.org/drawingml/2006/picture">
            <wp:extent cx="5577840" cy="3290970"/>
            <wp:docPr id="2" name="Picture 2"/>
            <wp:cNvGraphicFramePr>
              <a:graphicFrameLocks noChangeAspect="1"/>
            </wp:cNvGraphicFramePr>
            <a:graphic>
              <a:graphicData uri="http://schemas.openxmlformats.org/drawingml/2006/picture">
                <pic:pic>
                  <pic:nvPicPr>
                    <pic:cNvPr id="0" name="penguins_kmeans_pca.png"/>
                    <pic:cNvPicPr/>
                  </pic:nvPicPr>
                  <pic:blipFill>
                    <a:blip r:embed="rId10"/>
                    <a:stretch>
                      <a:fillRect/>
                    </a:stretch>
                  </pic:blipFill>
                  <pic:spPr>
                    <a:xfrm>
                      <a:off x="0" y="0"/>
                      <a:ext cx="5577840" cy="3290970"/>
                    </a:xfrm>
                    <a:prstGeom prst="rect"/>
                  </pic:spPr>
                </pic:pic>
              </a:graphicData>
            </a:graphic>
          </wp:inline>
        </w:drawing>
      </w:r>
    </w:p>
    <w:p>
      <w:pPr>
        <w:jc w:val="center"/>
      </w:pPr>
      <w:r>
        <w:rPr>
          <w:i/>
        </w:rPr>
        <w:t>Hình 2. Penguins - K-Means K=3 sau PCA</w:t>
      </w:r>
    </w:p>
    <w:p>
      <w:pPr>
        <w:jc w:val="center"/>
      </w:pPr>
      <w:r>
        <w:drawing>
          <wp:inline xmlns:a="http://schemas.openxmlformats.org/drawingml/2006/main" xmlns:pic="http://schemas.openxmlformats.org/drawingml/2006/picture">
            <wp:extent cx="5577840" cy="3290970"/>
            <wp:docPr id="3" name="Picture 3"/>
            <wp:cNvGraphicFramePr>
              <a:graphicFrameLocks noChangeAspect="1"/>
            </wp:cNvGraphicFramePr>
            <a:graphic>
              <a:graphicData uri="http://schemas.openxmlformats.org/drawingml/2006/picture">
                <pic:pic>
                  <pic:nvPicPr>
                    <pic:cNvPr id="0" name="penguins_agglomerative_pca.png"/>
                    <pic:cNvPicPr/>
                  </pic:nvPicPr>
                  <pic:blipFill>
                    <a:blip r:embed="rId11"/>
                    <a:stretch>
                      <a:fillRect/>
                    </a:stretch>
                  </pic:blipFill>
                  <pic:spPr>
                    <a:xfrm>
                      <a:off x="0" y="0"/>
                      <a:ext cx="5577840" cy="3290970"/>
                    </a:xfrm>
                    <a:prstGeom prst="rect"/>
                  </pic:spPr>
                </pic:pic>
              </a:graphicData>
            </a:graphic>
          </wp:inline>
        </w:drawing>
      </w:r>
    </w:p>
    <w:p>
      <w:pPr>
        <w:jc w:val="center"/>
      </w:pPr>
      <w:r>
        <w:rPr>
          <w:i/>
        </w:rPr>
        <w:t>Hình 3. Penguins - Agglomerative K=3 sau PCA</w:t>
      </w:r>
    </w:p>
    <w:p>
      <w:pPr>
        <w:jc w:val="center"/>
      </w:pPr>
      <w:r>
        <w:drawing>
          <wp:inline xmlns:a="http://schemas.openxmlformats.org/drawingml/2006/main" xmlns:pic="http://schemas.openxmlformats.org/drawingml/2006/picture">
            <wp:extent cx="5577840" cy="2934054"/>
            <wp:docPr id="4" name="Picture 4"/>
            <wp:cNvGraphicFramePr>
              <a:graphicFrameLocks noChangeAspect="1"/>
            </wp:cNvGraphicFramePr>
            <a:graphic>
              <a:graphicData uri="http://schemas.openxmlformats.org/drawingml/2006/picture">
                <pic:pic>
                  <pic:nvPicPr>
                    <pic:cNvPr id="0" name="penguins_dendrogram.png"/>
                    <pic:cNvPicPr/>
                  </pic:nvPicPr>
                  <pic:blipFill>
                    <a:blip r:embed="rId12"/>
                    <a:stretch>
                      <a:fillRect/>
                    </a:stretch>
                  </pic:blipFill>
                  <pic:spPr>
                    <a:xfrm>
                      <a:off x="0" y="0"/>
                      <a:ext cx="5577840" cy="2934054"/>
                    </a:xfrm>
                    <a:prstGeom prst="rect"/>
                  </pic:spPr>
                </pic:pic>
              </a:graphicData>
            </a:graphic>
          </wp:inline>
        </w:drawing>
      </w:r>
    </w:p>
    <w:p>
      <w:pPr>
        <w:jc w:val="center"/>
      </w:pPr>
      <w:r>
        <w:rPr>
          <w:i/>
        </w:rPr>
        <w:t>Hình 4. Penguins - Dendrogram mẫu</w:t>
      </w:r>
    </w:p>
    <w:p>
      <w:pPr>
        <w:pStyle w:val="Heading2"/>
      </w:pPr>
      <w:r>
        <w:t>2.1. Đánh giá và mức độ ứng dụng</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vAlign w:val="center"/>
          </w:tcPr>
          <w:p>
            <w:r>
              <w:rPr>
                <w:sz w:val="16"/>
              </w:rPr>
              <w:t>Dataset</w:t>
            </w:r>
          </w:p>
        </w:tc>
        <w:tc>
          <w:tcPr>
            <w:tcW w:type="dxa" w:w="2033"/>
            <w:shd w:fill="D9EAF7"/>
            <w:vAlign w:val="center"/>
          </w:tcPr>
          <w:p>
            <w:r>
              <w:rPr>
                <w:sz w:val="16"/>
              </w:rPr>
              <w:t>Model</w:t>
            </w:r>
          </w:p>
        </w:tc>
        <w:tc>
          <w:tcPr>
            <w:tcW w:type="dxa" w:w="2033"/>
            <w:shd w:fill="D9EAF7"/>
            <w:vAlign w:val="center"/>
          </w:tcPr>
          <w:p>
            <w:r>
              <w:rPr>
                <w:sz w:val="16"/>
              </w:rPr>
              <w:t>Silhouette</w:t>
            </w:r>
          </w:p>
        </w:tc>
        <w:tc>
          <w:tcPr>
            <w:tcW w:type="dxa" w:w="2033"/>
            <w:shd w:fill="D9EAF7"/>
            <w:vAlign w:val="center"/>
          </w:tcPr>
          <w:p>
            <w:r>
              <w:rPr>
                <w:sz w:val="16"/>
              </w:rPr>
              <w:t>Davies-Bouldin</w:t>
            </w:r>
          </w:p>
        </w:tc>
        <w:tc>
          <w:tcPr>
            <w:tcW w:type="dxa" w:w="2033"/>
            <w:shd w:fill="D9EAF7"/>
            <w:vAlign w:val="center"/>
          </w:tcPr>
          <w:p>
            <w:r>
              <w:rPr>
                <w:sz w:val="16"/>
              </w:rPr>
              <w:t>Calinski-Harabasz</w:t>
            </w:r>
          </w:p>
        </w:tc>
      </w:tr>
      <w:tr>
        <w:tc>
          <w:tcPr>
            <w:tcW w:type="dxa" w:w="2033"/>
            <w:vAlign w:val="center"/>
          </w:tcPr>
          <w:p>
            <w:r>
              <w:rPr>
                <w:sz w:val="16"/>
              </w:rPr>
              <w:t>Penguins</w:t>
            </w:r>
          </w:p>
        </w:tc>
        <w:tc>
          <w:tcPr>
            <w:tcW w:type="dxa" w:w="2033"/>
            <w:vAlign w:val="center"/>
          </w:tcPr>
          <w:p>
            <w:r>
              <w:rPr>
                <w:sz w:val="16"/>
              </w:rPr>
              <w:t>K-Means K=3</w:t>
            </w:r>
          </w:p>
        </w:tc>
        <w:tc>
          <w:tcPr>
            <w:tcW w:type="dxa" w:w="2033"/>
            <w:vAlign w:val="center"/>
          </w:tcPr>
          <w:p>
            <w:r>
              <w:rPr>
                <w:sz w:val="16"/>
              </w:rPr>
              <w:t>0.3968</w:t>
            </w:r>
          </w:p>
        </w:tc>
        <w:tc>
          <w:tcPr>
            <w:tcW w:type="dxa" w:w="2033"/>
            <w:vAlign w:val="center"/>
          </w:tcPr>
          <w:p>
            <w:r>
              <w:rPr>
                <w:sz w:val="16"/>
              </w:rPr>
              <w:t>0.7806</w:t>
            </w:r>
          </w:p>
        </w:tc>
        <w:tc>
          <w:tcPr>
            <w:tcW w:type="dxa" w:w="2033"/>
            <w:vAlign w:val="center"/>
          </w:tcPr>
          <w:p>
            <w:r>
              <w:rPr>
                <w:sz w:val="16"/>
              </w:rPr>
              <w:t>177.79</w:t>
            </w:r>
          </w:p>
        </w:tc>
      </w:tr>
      <w:tr>
        <w:tc>
          <w:tcPr>
            <w:tcW w:type="dxa" w:w="2033"/>
            <w:vAlign w:val="center"/>
          </w:tcPr>
          <w:p>
            <w:r>
              <w:rPr>
                <w:sz w:val="16"/>
              </w:rPr>
              <w:t>Penguins</w:t>
            </w:r>
          </w:p>
        </w:tc>
        <w:tc>
          <w:tcPr>
            <w:tcW w:type="dxa" w:w="2033"/>
            <w:vAlign w:val="center"/>
          </w:tcPr>
          <w:p>
            <w:r>
              <w:rPr>
                <w:sz w:val="16"/>
              </w:rPr>
              <w:t>Agglomerative K=3</w:t>
            </w:r>
          </w:p>
        </w:tc>
        <w:tc>
          <w:tcPr>
            <w:tcW w:type="dxa" w:w="2033"/>
            <w:vAlign w:val="center"/>
          </w:tcPr>
          <w:p>
            <w:r>
              <w:rPr>
                <w:sz w:val="16"/>
              </w:rPr>
              <w:t>0.3954</w:t>
            </w:r>
          </w:p>
        </w:tc>
        <w:tc>
          <w:tcPr>
            <w:tcW w:type="dxa" w:w="2033"/>
            <w:vAlign w:val="center"/>
          </w:tcPr>
          <w:p>
            <w:r>
              <w:rPr>
                <w:sz w:val="16"/>
              </w:rPr>
              <w:t>0.7807</w:t>
            </w:r>
          </w:p>
        </w:tc>
        <w:tc>
          <w:tcPr>
            <w:tcW w:type="dxa" w:w="2033"/>
            <w:vAlign w:val="center"/>
          </w:tcPr>
          <w:p>
            <w:r>
              <w:rPr>
                <w:sz w:val="16"/>
              </w:rPr>
              <w:t>177.37</w:t>
            </w:r>
          </w:p>
        </w:tc>
      </w:tr>
    </w:tbl>
    <w:p>
      <w:r>
        <w:t>K-Means và Agglomerative có Silhouette gần nhau khi K=3. Điều này cho thấy dữ liệu có cấu trúc nhóm tương đối nhưng chưa tách biệt hoàn toàn. Mức độ ứng dụng phù hợp cho EDA sinh học, kiểm tra các cá thể có tự gom thành nhóm hình thái hay không. Muốn đánh giá chuẩn hơn cần thêm nhãn species để so sánh sau phân cụm.</w:t>
      </w:r>
    </w:p>
    <w:p>
      <w:pPr>
        <w:pStyle w:val="Heading1"/>
      </w:pPr>
      <w:r>
        <w:t>3. Dataset Online Retail - Phân cụm khách hàng bằng RFM</w:t>
      </w:r>
    </w:p>
    <w:p>
      <w:r>
        <w:t>Sau làm sạch giao dịch, dữ liệu tạo được bảng RFM gồm 2997 khách hàng. Các biến dùng gồm Recency, Frequency, Monetary, Quantity và AvgBasket. Dữ liệu được xử lý ngoại lai, log-transform và chuẩn hóa trước khi phân cụm.</w:t>
      </w:r>
    </w:p>
    <w:p>
      <w:r>
        <w:t>K tốt nhất theo Silhouette khi quét 2-8 là 2. Báo cáo chọn K=4 để tạo nhóm khách hàng đủ dễ hiểu và dễ triển khai trong marketing.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sz w:val="16"/>
              </w:rPr>
              <w:t>k</w:t>
            </w:r>
          </w:p>
        </w:tc>
        <w:tc>
          <w:tcPr>
            <w:tcW w:type="dxa" w:w="3389"/>
            <w:shd w:fill="D9EAF7"/>
            <w:vAlign w:val="center"/>
          </w:tcPr>
          <w:p>
            <w:r>
              <w:rPr>
                <w:sz w:val="16"/>
              </w:rPr>
              <w:t>inertia</w:t>
            </w:r>
          </w:p>
        </w:tc>
        <w:tc>
          <w:tcPr>
            <w:tcW w:type="dxa" w:w="3389"/>
            <w:shd w:fill="D9EAF7"/>
            <w:vAlign w:val="center"/>
          </w:tcPr>
          <w:p>
            <w:r>
              <w:rPr>
                <w:sz w:val="16"/>
              </w:rPr>
              <w:t>silhouette</w:t>
            </w:r>
          </w:p>
        </w:tc>
      </w:tr>
      <w:tr>
        <w:tc>
          <w:tcPr>
            <w:tcW w:type="dxa" w:w="3389"/>
            <w:vAlign w:val="center"/>
          </w:tcPr>
          <w:p>
            <w:r>
              <w:rPr>
                <w:sz w:val="16"/>
              </w:rPr>
              <w:t>2.0000</w:t>
            </w:r>
          </w:p>
        </w:tc>
        <w:tc>
          <w:tcPr>
            <w:tcW w:type="dxa" w:w="3389"/>
            <w:vAlign w:val="center"/>
          </w:tcPr>
          <w:p>
            <w:r>
              <w:rPr>
                <w:sz w:val="16"/>
              </w:rPr>
              <w:t>9,337.11</w:t>
            </w:r>
          </w:p>
        </w:tc>
        <w:tc>
          <w:tcPr>
            <w:tcW w:type="dxa" w:w="3389"/>
            <w:vAlign w:val="center"/>
          </w:tcPr>
          <w:p>
            <w:r>
              <w:rPr>
                <w:sz w:val="16"/>
              </w:rPr>
              <w:t>0.3396</w:t>
            </w:r>
          </w:p>
        </w:tc>
      </w:tr>
      <w:tr>
        <w:tc>
          <w:tcPr>
            <w:tcW w:type="dxa" w:w="3389"/>
            <w:vAlign w:val="center"/>
          </w:tcPr>
          <w:p>
            <w:r>
              <w:rPr>
                <w:sz w:val="16"/>
              </w:rPr>
              <w:t>3.0000</w:t>
            </w:r>
          </w:p>
        </w:tc>
        <w:tc>
          <w:tcPr>
            <w:tcW w:type="dxa" w:w="3389"/>
            <w:vAlign w:val="center"/>
          </w:tcPr>
          <w:p>
            <w:r>
              <w:rPr>
                <w:sz w:val="16"/>
              </w:rPr>
              <w:t>7,885.68</w:t>
            </w:r>
          </w:p>
        </w:tc>
        <w:tc>
          <w:tcPr>
            <w:tcW w:type="dxa" w:w="3389"/>
            <w:vAlign w:val="center"/>
          </w:tcPr>
          <w:p>
            <w:r>
              <w:rPr>
                <w:sz w:val="16"/>
              </w:rPr>
              <w:t>0.2376</w:t>
            </w:r>
          </w:p>
        </w:tc>
      </w:tr>
      <w:tr>
        <w:tc>
          <w:tcPr>
            <w:tcW w:type="dxa" w:w="3389"/>
            <w:vAlign w:val="center"/>
          </w:tcPr>
          <w:p>
            <w:r>
              <w:rPr>
                <w:sz w:val="16"/>
              </w:rPr>
              <w:t>4.0000</w:t>
            </w:r>
          </w:p>
        </w:tc>
        <w:tc>
          <w:tcPr>
            <w:tcW w:type="dxa" w:w="3389"/>
            <w:vAlign w:val="center"/>
          </w:tcPr>
          <w:p>
            <w:r>
              <w:rPr>
                <w:sz w:val="16"/>
              </w:rPr>
              <w:t>6,904.25</w:t>
            </w:r>
          </w:p>
        </w:tc>
        <w:tc>
          <w:tcPr>
            <w:tcW w:type="dxa" w:w="3389"/>
            <w:vAlign w:val="center"/>
          </w:tcPr>
          <w:p>
            <w:r>
              <w:rPr>
                <w:sz w:val="16"/>
              </w:rPr>
              <w:t>0.2590</w:t>
            </w:r>
          </w:p>
        </w:tc>
      </w:tr>
      <w:tr>
        <w:tc>
          <w:tcPr>
            <w:tcW w:type="dxa" w:w="3389"/>
            <w:vAlign w:val="center"/>
          </w:tcPr>
          <w:p>
            <w:r>
              <w:rPr>
                <w:sz w:val="16"/>
              </w:rPr>
              <w:t>5.0000</w:t>
            </w:r>
          </w:p>
        </w:tc>
        <w:tc>
          <w:tcPr>
            <w:tcW w:type="dxa" w:w="3389"/>
            <w:vAlign w:val="center"/>
          </w:tcPr>
          <w:p>
            <w:r>
              <w:rPr>
                <w:sz w:val="16"/>
              </w:rPr>
              <w:t>6,010.63</w:t>
            </w:r>
          </w:p>
        </w:tc>
        <w:tc>
          <w:tcPr>
            <w:tcW w:type="dxa" w:w="3389"/>
            <w:vAlign w:val="center"/>
          </w:tcPr>
          <w:p>
            <w:r>
              <w:rPr>
                <w:sz w:val="16"/>
              </w:rPr>
              <w:t>0.2721</w:t>
            </w:r>
          </w:p>
        </w:tc>
      </w:tr>
      <w:tr>
        <w:tc>
          <w:tcPr>
            <w:tcW w:type="dxa" w:w="3389"/>
            <w:vAlign w:val="center"/>
          </w:tcPr>
          <w:p>
            <w:r>
              <w:rPr>
                <w:sz w:val="16"/>
              </w:rPr>
              <w:t>6.0000</w:t>
            </w:r>
          </w:p>
        </w:tc>
        <w:tc>
          <w:tcPr>
            <w:tcW w:type="dxa" w:w="3389"/>
            <w:vAlign w:val="center"/>
          </w:tcPr>
          <w:p>
            <w:r>
              <w:rPr>
                <w:sz w:val="16"/>
              </w:rPr>
              <w:t>5,297.94</w:t>
            </w:r>
          </w:p>
        </w:tc>
        <w:tc>
          <w:tcPr>
            <w:tcW w:type="dxa" w:w="3389"/>
            <w:vAlign w:val="center"/>
          </w:tcPr>
          <w:p>
            <w:r>
              <w:rPr>
                <w:sz w:val="16"/>
              </w:rPr>
              <w:t>0.2421</w:t>
            </w:r>
          </w:p>
        </w:tc>
      </w:tr>
      <w:tr>
        <w:tc>
          <w:tcPr>
            <w:tcW w:type="dxa" w:w="3389"/>
            <w:vAlign w:val="center"/>
          </w:tcPr>
          <w:p>
            <w:r>
              <w:rPr>
                <w:sz w:val="16"/>
              </w:rPr>
              <w:t>7.0000</w:t>
            </w:r>
          </w:p>
        </w:tc>
        <w:tc>
          <w:tcPr>
            <w:tcW w:type="dxa" w:w="3389"/>
            <w:vAlign w:val="center"/>
          </w:tcPr>
          <w:p>
            <w:r>
              <w:rPr>
                <w:sz w:val="16"/>
              </w:rPr>
              <w:t>4,786.30</w:t>
            </w:r>
          </w:p>
        </w:tc>
        <w:tc>
          <w:tcPr>
            <w:tcW w:type="dxa" w:w="3389"/>
            <w:vAlign w:val="center"/>
          </w:tcPr>
          <w:p>
            <w:r>
              <w:rPr>
                <w:sz w:val="16"/>
              </w:rPr>
              <w:t>0.2457</w:t>
            </w:r>
          </w:p>
        </w:tc>
      </w:tr>
      <w:tr>
        <w:tc>
          <w:tcPr>
            <w:tcW w:type="dxa" w:w="3389"/>
            <w:vAlign w:val="center"/>
          </w:tcPr>
          <w:p>
            <w:r>
              <w:rPr>
                <w:sz w:val="16"/>
              </w:rPr>
              <w:t>8.0000</w:t>
            </w:r>
          </w:p>
        </w:tc>
        <w:tc>
          <w:tcPr>
            <w:tcW w:type="dxa" w:w="3389"/>
            <w:vAlign w:val="center"/>
          </w:tcPr>
          <w:p>
            <w:r>
              <w:rPr>
                <w:sz w:val="16"/>
              </w:rPr>
              <w:t>4,475.98</w:t>
            </w:r>
          </w:p>
        </w:tc>
        <w:tc>
          <w:tcPr>
            <w:tcW w:type="dxa" w:w="3389"/>
            <w:vAlign w:val="center"/>
          </w:tcPr>
          <w:p>
            <w:r>
              <w:rPr>
                <w:sz w:val="16"/>
              </w:rPr>
              <w:t>0.2136</w:t>
            </w:r>
          </w:p>
        </w:tc>
      </w:tr>
    </w:tbl>
    <w:p>
      <w:pPr>
        <w:jc w:val="center"/>
      </w:pPr>
      <w:r>
        <w:drawing>
          <wp:inline xmlns:a="http://schemas.openxmlformats.org/drawingml/2006/main" xmlns:pic="http://schemas.openxmlformats.org/drawingml/2006/picture">
            <wp:extent cx="5577840" cy="3346704"/>
            <wp:docPr id="5" name="Picture 5"/>
            <wp:cNvGraphicFramePr>
              <a:graphicFrameLocks noChangeAspect="1"/>
            </wp:cNvGraphicFramePr>
            <a:graphic>
              <a:graphicData uri="http://schemas.openxmlformats.org/drawingml/2006/picture">
                <pic:pic>
                  <pic:nvPicPr>
                    <pic:cNvPr id="0" name="retail_elbow_silhouette.png"/>
                    <pic:cNvPicPr/>
                  </pic:nvPicPr>
                  <pic:blipFill>
                    <a:blip r:embed="rId13"/>
                    <a:stretch>
                      <a:fillRect/>
                    </a:stretch>
                  </pic:blipFill>
                  <pic:spPr>
                    <a:xfrm>
                      <a:off x="0" y="0"/>
                      <a:ext cx="5577840" cy="3346704"/>
                    </a:xfrm>
                    <a:prstGeom prst="rect"/>
                  </pic:spPr>
                </pic:pic>
              </a:graphicData>
            </a:graphic>
          </wp:inline>
        </w:drawing>
      </w:r>
    </w:p>
    <w:p>
      <w:pPr>
        <w:jc w:val="center"/>
      </w:pPr>
      <w:r>
        <w:rPr>
          <w:i/>
        </w:rPr>
        <w:t>Hình 5. Online Retail - Elbow và Silhouette theo K</w:t>
      </w:r>
    </w:p>
    <w:p>
      <w:pPr>
        <w:jc w:val="center"/>
      </w:pPr>
      <w:r>
        <w:drawing>
          <wp:inline xmlns:a="http://schemas.openxmlformats.org/drawingml/2006/main" xmlns:pic="http://schemas.openxmlformats.org/drawingml/2006/picture">
            <wp:extent cx="5577840" cy="3290970"/>
            <wp:docPr id="6" name="Picture 6"/>
            <wp:cNvGraphicFramePr>
              <a:graphicFrameLocks noChangeAspect="1"/>
            </wp:cNvGraphicFramePr>
            <a:graphic>
              <a:graphicData uri="http://schemas.openxmlformats.org/drawingml/2006/picture">
                <pic:pic>
                  <pic:nvPicPr>
                    <pic:cNvPr id="0" name="retail_kmeans_pca.png"/>
                    <pic:cNvPicPr/>
                  </pic:nvPicPr>
                  <pic:blipFill>
                    <a:blip r:embed="rId14"/>
                    <a:stretch>
                      <a:fillRect/>
                    </a:stretch>
                  </pic:blipFill>
                  <pic:spPr>
                    <a:xfrm>
                      <a:off x="0" y="0"/>
                      <a:ext cx="5577840" cy="3290970"/>
                    </a:xfrm>
                    <a:prstGeom prst="rect"/>
                  </pic:spPr>
                </pic:pic>
              </a:graphicData>
            </a:graphic>
          </wp:inline>
        </w:drawing>
      </w:r>
    </w:p>
    <w:p>
      <w:pPr>
        <w:jc w:val="center"/>
      </w:pPr>
      <w:r>
        <w:rPr>
          <w:i/>
        </w:rPr>
        <w:t>Hình 6. Online Retail - K-Means RFM K=4 sau PCA</w:t>
      </w:r>
    </w:p>
    <w:p>
      <w:pPr>
        <w:jc w:val="center"/>
      </w:pPr>
      <w:r>
        <w:drawing>
          <wp:inline xmlns:a="http://schemas.openxmlformats.org/drawingml/2006/main" xmlns:pic="http://schemas.openxmlformats.org/drawingml/2006/picture">
            <wp:extent cx="5577840" cy="3295393"/>
            <wp:docPr id="7" name="Picture 7"/>
            <wp:cNvGraphicFramePr>
              <a:graphicFrameLocks noChangeAspect="1"/>
            </wp:cNvGraphicFramePr>
            <a:graphic>
              <a:graphicData uri="http://schemas.openxmlformats.org/drawingml/2006/picture">
                <pic:pic>
                  <pic:nvPicPr>
                    <pic:cNvPr id="0" name="retail_agglomerative_pca.png"/>
                    <pic:cNvPicPr/>
                  </pic:nvPicPr>
                  <pic:blipFill>
                    <a:blip r:embed="rId15"/>
                    <a:stretch>
                      <a:fillRect/>
                    </a:stretch>
                  </pic:blipFill>
                  <pic:spPr>
                    <a:xfrm>
                      <a:off x="0" y="0"/>
                      <a:ext cx="5577840" cy="3295393"/>
                    </a:xfrm>
                    <a:prstGeom prst="rect"/>
                  </pic:spPr>
                </pic:pic>
              </a:graphicData>
            </a:graphic>
          </wp:inline>
        </w:drawing>
      </w:r>
    </w:p>
    <w:p>
      <w:pPr>
        <w:jc w:val="center"/>
      </w:pPr>
      <w:r>
        <w:rPr>
          <w:i/>
        </w:rPr>
        <w:t>Hình 7. Online Retail - Agglomerative trên mẫu RFM K=4 sau PCA</w:t>
      </w:r>
    </w:p>
    <w:p>
      <w:pPr>
        <w:jc w:val="center"/>
      </w:pPr>
      <w:r>
        <w:drawing>
          <wp:inline xmlns:a="http://schemas.openxmlformats.org/drawingml/2006/main" xmlns:pic="http://schemas.openxmlformats.org/drawingml/2006/picture">
            <wp:extent cx="5577840" cy="2934054"/>
            <wp:docPr id="8" name="Picture 8"/>
            <wp:cNvGraphicFramePr>
              <a:graphicFrameLocks noChangeAspect="1"/>
            </wp:cNvGraphicFramePr>
            <a:graphic>
              <a:graphicData uri="http://schemas.openxmlformats.org/drawingml/2006/picture">
                <pic:pic>
                  <pic:nvPicPr>
                    <pic:cNvPr id="0" name="retail_dendrogram.png"/>
                    <pic:cNvPicPr/>
                  </pic:nvPicPr>
                  <pic:blipFill>
                    <a:blip r:embed="rId16"/>
                    <a:stretch>
                      <a:fillRect/>
                    </a:stretch>
                  </pic:blipFill>
                  <pic:spPr>
                    <a:xfrm>
                      <a:off x="0" y="0"/>
                      <a:ext cx="5577840" cy="2934054"/>
                    </a:xfrm>
                    <a:prstGeom prst="rect"/>
                  </pic:spPr>
                </pic:pic>
              </a:graphicData>
            </a:graphic>
          </wp:inline>
        </w:drawing>
      </w:r>
    </w:p>
    <w:p>
      <w:pPr>
        <w:jc w:val="center"/>
      </w:pPr>
      <w:r>
        <w:rPr>
          <w:i/>
        </w:rPr>
        <w:t>Hình 8. Online Retail - Dendrogram mẫu</w:t>
      </w:r>
    </w:p>
    <w:p>
      <w:pPr>
        <w:jc w:val="center"/>
      </w:pPr>
      <w:r>
        <w:drawing>
          <wp:inline xmlns:a="http://schemas.openxmlformats.org/drawingml/2006/main" xmlns:pic="http://schemas.openxmlformats.org/drawingml/2006/picture">
            <wp:extent cx="5577840" cy="2934054"/>
            <wp:docPr id="9" name="Picture 9"/>
            <wp:cNvGraphicFramePr>
              <a:graphicFrameLocks noChangeAspect="1"/>
            </wp:cNvGraphicFramePr>
            <a:graphic>
              <a:graphicData uri="http://schemas.openxmlformats.org/drawingml/2006/picture">
                <pic:pic>
                  <pic:nvPicPr>
                    <pic:cNvPr id="0" name="retail_cluster_monetary.png"/>
                    <pic:cNvPicPr/>
                  </pic:nvPicPr>
                  <pic:blipFill>
                    <a:blip r:embed="rId17"/>
                    <a:stretch>
                      <a:fillRect/>
                    </a:stretch>
                  </pic:blipFill>
                  <pic:spPr>
                    <a:xfrm>
                      <a:off x="0" y="0"/>
                      <a:ext cx="5577840" cy="2934054"/>
                    </a:xfrm>
                    <a:prstGeom prst="rect"/>
                  </pic:spPr>
                </pic:pic>
              </a:graphicData>
            </a:graphic>
          </wp:inline>
        </w:drawing>
      </w:r>
    </w:p>
    <w:p>
      <w:pPr>
        <w:jc w:val="center"/>
      </w:pPr>
      <w:r>
        <w:rPr>
          <w:i/>
        </w:rPr>
        <w:t>Hình 9. Monetary trung bình theo cụm</w:t>
      </w:r>
    </w:p>
    <w:p>
      <w:pPr>
        <w:pStyle w:val="Heading2"/>
      </w:pPr>
      <w:r>
        <w:t>3.1. Hồ sơ cụm khách hàng</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1271"/>
            <w:shd w:fill="D9EAF7"/>
            <w:vAlign w:val="center"/>
          </w:tcPr>
          <w:p>
            <w:r>
              <w:rPr>
                <w:sz w:val="16"/>
              </w:rPr>
              <w:t>Cluster</w:t>
            </w:r>
          </w:p>
        </w:tc>
        <w:tc>
          <w:tcPr>
            <w:tcW w:type="dxa" w:w="1271"/>
            <w:shd w:fill="D9EAF7"/>
            <w:vAlign w:val="center"/>
          </w:tcPr>
          <w:p>
            <w:r>
              <w:rPr>
                <w:sz w:val="16"/>
              </w:rPr>
              <w:t>SegmentName</w:t>
            </w:r>
          </w:p>
        </w:tc>
        <w:tc>
          <w:tcPr>
            <w:tcW w:type="dxa" w:w="1271"/>
            <w:shd w:fill="D9EAF7"/>
            <w:vAlign w:val="center"/>
          </w:tcPr>
          <w:p>
            <w:r>
              <w:rPr>
                <w:sz w:val="16"/>
              </w:rPr>
              <w:t>Customers</w:t>
            </w:r>
          </w:p>
        </w:tc>
        <w:tc>
          <w:tcPr>
            <w:tcW w:type="dxa" w:w="1271"/>
            <w:shd w:fill="D9EAF7"/>
            <w:vAlign w:val="center"/>
          </w:tcPr>
          <w:p>
            <w:r>
              <w:rPr>
                <w:sz w:val="16"/>
              </w:rPr>
              <w:t>Recency</w:t>
            </w:r>
          </w:p>
        </w:tc>
        <w:tc>
          <w:tcPr>
            <w:tcW w:type="dxa" w:w="1271"/>
            <w:shd w:fill="D9EAF7"/>
            <w:vAlign w:val="center"/>
          </w:tcPr>
          <w:p>
            <w:r>
              <w:rPr>
                <w:sz w:val="16"/>
              </w:rPr>
              <w:t>Frequency</w:t>
            </w:r>
          </w:p>
        </w:tc>
        <w:tc>
          <w:tcPr>
            <w:tcW w:type="dxa" w:w="1271"/>
            <w:shd w:fill="D9EAF7"/>
            <w:vAlign w:val="center"/>
          </w:tcPr>
          <w:p>
            <w:r>
              <w:rPr>
                <w:sz w:val="16"/>
              </w:rPr>
              <w:t>Monetary</w:t>
            </w:r>
          </w:p>
        </w:tc>
        <w:tc>
          <w:tcPr>
            <w:tcW w:type="dxa" w:w="1271"/>
            <w:shd w:fill="D9EAF7"/>
            <w:vAlign w:val="center"/>
          </w:tcPr>
          <w:p>
            <w:r>
              <w:rPr>
                <w:sz w:val="16"/>
              </w:rPr>
              <w:t>Quantity</w:t>
            </w:r>
          </w:p>
        </w:tc>
        <w:tc>
          <w:tcPr>
            <w:tcW w:type="dxa" w:w="1271"/>
            <w:shd w:fill="D9EAF7"/>
            <w:vAlign w:val="center"/>
          </w:tcPr>
          <w:p>
            <w:r>
              <w:rPr>
                <w:sz w:val="16"/>
              </w:rPr>
              <w:t>AvgBasket</w:t>
            </w:r>
          </w:p>
        </w:tc>
      </w:tr>
      <w:tr>
        <w:tc>
          <w:tcPr>
            <w:tcW w:type="dxa" w:w="1271"/>
            <w:vAlign w:val="center"/>
          </w:tcPr>
          <w:p>
            <w:r>
              <w:rPr>
                <w:sz w:val="16"/>
              </w:rPr>
              <w:t>0</w:t>
            </w:r>
          </w:p>
        </w:tc>
        <w:tc>
          <w:tcPr>
            <w:tcW w:type="dxa" w:w="1271"/>
            <w:vAlign w:val="center"/>
          </w:tcPr>
          <w:p>
            <w:r>
              <w:rPr>
                <w:sz w:val="16"/>
              </w:rPr>
              <w:t>Trung thành tiềm năng</w:t>
            </w:r>
          </w:p>
        </w:tc>
        <w:tc>
          <w:tcPr>
            <w:tcW w:type="dxa" w:w="1271"/>
            <w:vAlign w:val="center"/>
          </w:tcPr>
          <w:p>
            <w:r>
              <w:rPr>
                <w:sz w:val="16"/>
              </w:rPr>
              <w:t>244</w:t>
            </w:r>
          </w:p>
        </w:tc>
        <w:tc>
          <w:tcPr>
            <w:tcW w:type="dxa" w:w="1271"/>
            <w:vAlign w:val="center"/>
          </w:tcPr>
          <w:p>
            <w:r>
              <w:rPr>
                <w:sz w:val="16"/>
              </w:rPr>
              <w:t>3.9900</w:t>
            </w:r>
          </w:p>
        </w:tc>
        <w:tc>
          <w:tcPr>
            <w:tcW w:type="dxa" w:w="1271"/>
            <w:vAlign w:val="center"/>
          </w:tcPr>
          <w:p>
            <w:r>
              <w:rPr>
                <w:sz w:val="16"/>
              </w:rPr>
              <w:t>2.3600</w:t>
            </w:r>
          </w:p>
        </w:tc>
        <w:tc>
          <w:tcPr>
            <w:tcW w:type="dxa" w:w="1271"/>
            <w:vAlign w:val="center"/>
          </w:tcPr>
          <w:p>
            <w:r>
              <w:rPr>
                <w:sz w:val="16"/>
              </w:rPr>
              <w:t>773.21</w:t>
            </w:r>
          </w:p>
        </w:tc>
        <w:tc>
          <w:tcPr>
            <w:tcW w:type="dxa" w:w="1271"/>
            <w:vAlign w:val="center"/>
          </w:tcPr>
          <w:p>
            <w:r>
              <w:rPr>
                <w:sz w:val="16"/>
              </w:rPr>
              <w:t>456.54</w:t>
            </w:r>
          </w:p>
        </w:tc>
        <w:tc>
          <w:tcPr>
            <w:tcW w:type="dxa" w:w="1271"/>
            <w:vAlign w:val="center"/>
          </w:tcPr>
          <w:p>
            <w:r>
              <w:rPr>
                <w:sz w:val="16"/>
              </w:rPr>
              <w:t>26.80</w:t>
            </w:r>
          </w:p>
        </w:tc>
      </w:tr>
      <w:tr>
        <w:tc>
          <w:tcPr>
            <w:tcW w:type="dxa" w:w="1271"/>
            <w:vAlign w:val="center"/>
          </w:tcPr>
          <w:p>
            <w:r>
              <w:rPr>
                <w:sz w:val="16"/>
              </w:rPr>
              <w:t>1</w:t>
            </w:r>
          </w:p>
        </w:tc>
        <w:tc>
          <w:tcPr>
            <w:tcW w:type="dxa" w:w="1271"/>
            <w:vAlign w:val="center"/>
          </w:tcPr>
          <w:p>
            <w:r>
              <w:rPr>
                <w:sz w:val="16"/>
              </w:rPr>
              <w:t>VIP / Giá trị cao</w:t>
            </w:r>
          </w:p>
        </w:tc>
        <w:tc>
          <w:tcPr>
            <w:tcW w:type="dxa" w:w="1271"/>
            <w:vAlign w:val="center"/>
          </w:tcPr>
          <w:p>
            <w:r>
              <w:rPr>
                <w:sz w:val="16"/>
              </w:rPr>
              <w:t>400</w:t>
            </w:r>
          </w:p>
        </w:tc>
        <w:tc>
          <w:tcPr>
            <w:tcW w:type="dxa" w:w="1271"/>
            <w:vAlign w:val="center"/>
          </w:tcPr>
          <w:p>
            <w:r>
              <w:rPr>
                <w:sz w:val="16"/>
              </w:rPr>
              <w:t>50.58</w:t>
            </w:r>
          </w:p>
        </w:tc>
        <w:tc>
          <w:tcPr>
            <w:tcW w:type="dxa" w:w="1271"/>
            <w:vAlign w:val="center"/>
          </w:tcPr>
          <w:p>
            <w:r>
              <w:rPr>
                <w:sz w:val="16"/>
              </w:rPr>
              <w:t>8.6400</w:t>
            </w:r>
          </w:p>
        </w:tc>
        <w:tc>
          <w:tcPr>
            <w:tcW w:type="dxa" w:w="1271"/>
            <w:vAlign w:val="center"/>
          </w:tcPr>
          <w:p>
            <w:r>
              <w:rPr>
                <w:sz w:val="16"/>
              </w:rPr>
              <w:t>5,961.13</w:t>
            </w:r>
          </w:p>
        </w:tc>
        <w:tc>
          <w:tcPr>
            <w:tcW w:type="dxa" w:w="1271"/>
            <w:vAlign w:val="center"/>
          </w:tcPr>
          <w:p>
            <w:r>
              <w:rPr>
                <w:sz w:val="16"/>
              </w:rPr>
              <w:t>3,317.32</w:t>
            </w:r>
          </w:p>
        </w:tc>
        <w:tc>
          <w:tcPr>
            <w:tcW w:type="dxa" w:w="1271"/>
            <w:vAlign w:val="center"/>
          </w:tcPr>
          <w:p>
            <w:r>
              <w:rPr>
                <w:sz w:val="16"/>
              </w:rPr>
              <w:t>519.96</w:t>
            </w:r>
          </w:p>
        </w:tc>
      </w:tr>
      <w:tr>
        <w:tc>
          <w:tcPr>
            <w:tcW w:type="dxa" w:w="1271"/>
            <w:vAlign w:val="center"/>
          </w:tcPr>
          <w:p>
            <w:r>
              <w:rPr>
                <w:sz w:val="16"/>
              </w:rPr>
              <w:t>2</w:t>
            </w:r>
          </w:p>
        </w:tc>
        <w:tc>
          <w:tcPr>
            <w:tcW w:type="dxa" w:w="1271"/>
            <w:vAlign w:val="center"/>
          </w:tcPr>
          <w:p>
            <w:r>
              <w:rPr>
                <w:sz w:val="16"/>
              </w:rPr>
              <w:t>Ngủ quên / cần kích hoạt lại</w:t>
            </w:r>
          </w:p>
        </w:tc>
        <w:tc>
          <w:tcPr>
            <w:tcW w:type="dxa" w:w="1271"/>
            <w:vAlign w:val="center"/>
          </w:tcPr>
          <w:p>
            <w:r>
              <w:rPr>
                <w:sz w:val="16"/>
              </w:rPr>
              <w:t>1064</w:t>
            </w:r>
          </w:p>
        </w:tc>
        <w:tc>
          <w:tcPr>
            <w:tcW w:type="dxa" w:w="1271"/>
            <w:vAlign w:val="center"/>
          </w:tcPr>
          <w:p>
            <w:r>
              <w:rPr>
                <w:sz w:val="16"/>
              </w:rPr>
              <w:t>142.00</w:t>
            </w:r>
          </w:p>
        </w:tc>
        <w:tc>
          <w:tcPr>
            <w:tcW w:type="dxa" w:w="1271"/>
            <w:vAlign w:val="center"/>
          </w:tcPr>
          <w:p>
            <w:r>
              <w:rPr>
                <w:sz w:val="16"/>
              </w:rPr>
              <w:t>2.2900</w:t>
            </w:r>
          </w:p>
        </w:tc>
        <w:tc>
          <w:tcPr>
            <w:tcW w:type="dxa" w:w="1271"/>
            <w:vAlign w:val="center"/>
          </w:tcPr>
          <w:p>
            <w:r>
              <w:rPr>
                <w:sz w:val="16"/>
              </w:rPr>
              <w:t>939.78</w:t>
            </w:r>
          </w:p>
        </w:tc>
        <w:tc>
          <w:tcPr>
            <w:tcW w:type="dxa" w:w="1271"/>
            <w:vAlign w:val="center"/>
          </w:tcPr>
          <w:p>
            <w:r>
              <w:rPr>
                <w:sz w:val="16"/>
              </w:rPr>
              <w:t>567.73</w:t>
            </w:r>
          </w:p>
        </w:tc>
        <w:tc>
          <w:tcPr>
            <w:tcW w:type="dxa" w:w="1271"/>
            <w:vAlign w:val="center"/>
          </w:tcPr>
          <w:p>
            <w:r>
              <w:rPr>
                <w:sz w:val="16"/>
              </w:rPr>
              <w:t>45.53</w:t>
            </w:r>
          </w:p>
        </w:tc>
      </w:tr>
      <w:tr>
        <w:tc>
          <w:tcPr>
            <w:tcW w:type="dxa" w:w="1271"/>
            <w:vAlign w:val="center"/>
          </w:tcPr>
          <w:p>
            <w:r>
              <w:rPr>
                <w:sz w:val="16"/>
              </w:rPr>
              <w:t>3</w:t>
            </w:r>
          </w:p>
        </w:tc>
        <w:tc>
          <w:tcPr>
            <w:tcW w:type="dxa" w:w="1271"/>
            <w:vAlign w:val="center"/>
          </w:tcPr>
          <w:p>
            <w:r>
              <w:rPr>
                <w:sz w:val="16"/>
              </w:rPr>
              <w:t>Mới hoặc giá trị thấp</w:t>
            </w:r>
          </w:p>
        </w:tc>
        <w:tc>
          <w:tcPr>
            <w:tcW w:type="dxa" w:w="1271"/>
            <w:vAlign w:val="center"/>
          </w:tcPr>
          <w:p>
            <w:r>
              <w:rPr>
                <w:sz w:val="16"/>
              </w:rPr>
              <w:t>1289</w:t>
            </w:r>
          </w:p>
        </w:tc>
        <w:tc>
          <w:tcPr>
            <w:tcW w:type="dxa" w:w="1271"/>
            <w:vAlign w:val="center"/>
          </w:tcPr>
          <w:p>
            <w:r>
              <w:rPr>
                <w:sz w:val="16"/>
              </w:rPr>
              <w:t>227.62</w:t>
            </w:r>
          </w:p>
        </w:tc>
        <w:tc>
          <w:tcPr>
            <w:tcW w:type="dxa" w:w="1271"/>
            <w:vAlign w:val="center"/>
          </w:tcPr>
          <w:p>
            <w:r>
              <w:rPr>
                <w:sz w:val="16"/>
              </w:rPr>
              <w:t>1.1600</w:t>
            </w:r>
          </w:p>
        </w:tc>
        <w:tc>
          <w:tcPr>
            <w:tcW w:type="dxa" w:w="1271"/>
            <w:vAlign w:val="center"/>
          </w:tcPr>
          <w:p>
            <w:r>
              <w:rPr>
                <w:sz w:val="16"/>
              </w:rPr>
              <w:t>234.64</w:t>
            </w:r>
          </w:p>
        </w:tc>
        <w:tc>
          <w:tcPr>
            <w:tcW w:type="dxa" w:w="1271"/>
            <w:vAlign w:val="center"/>
          </w:tcPr>
          <w:p>
            <w:r>
              <w:rPr>
                <w:sz w:val="16"/>
              </w:rPr>
              <w:t>126.63</w:t>
            </w:r>
          </w:p>
        </w:tc>
        <w:tc>
          <w:tcPr>
            <w:tcW w:type="dxa" w:w="1271"/>
            <w:vAlign w:val="center"/>
          </w:tcPr>
          <w:p>
            <w:r>
              <w:rPr>
                <w:sz w:val="16"/>
              </w:rPr>
              <w:t>22.72</w:t>
            </w:r>
          </w:p>
        </w:tc>
      </w:tr>
    </w:tbl>
    <w:p>
      <w:r>
        <w:t>Nhóm VIP / giá trị cao có Monetary và Frequency cao, Recency thấp, nên ưu tiên giữ chân. Nhóm trung thành tiềm năng có thể upsell/cross-sell. Nhóm ngủ quên cần chiến dịch kích hoạt lại. Nhóm mới hoặc giá trị thấp cần onboarding, voucher nhỏ và gợi ý sản phẩm phù hợp.</w:t>
      </w:r>
    </w:p>
    <w:p>
      <w:pPr>
        <w:pStyle w:val="Heading2"/>
      </w:pPr>
      <w:r>
        <w:t>3.2. Đánh giá và mức độ ứng dụng</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vAlign w:val="center"/>
          </w:tcPr>
          <w:p>
            <w:r>
              <w:rPr>
                <w:sz w:val="16"/>
              </w:rPr>
              <w:t>Dataset</w:t>
            </w:r>
          </w:p>
        </w:tc>
        <w:tc>
          <w:tcPr>
            <w:tcW w:type="dxa" w:w="2033"/>
            <w:shd w:fill="D9EAF7"/>
            <w:vAlign w:val="center"/>
          </w:tcPr>
          <w:p>
            <w:r>
              <w:rPr>
                <w:sz w:val="16"/>
              </w:rPr>
              <w:t>Model</w:t>
            </w:r>
          </w:p>
        </w:tc>
        <w:tc>
          <w:tcPr>
            <w:tcW w:type="dxa" w:w="2033"/>
            <w:shd w:fill="D9EAF7"/>
            <w:vAlign w:val="center"/>
          </w:tcPr>
          <w:p>
            <w:r>
              <w:rPr>
                <w:sz w:val="16"/>
              </w:rPr>
              <w:t>Silhouette</w:t>
            </w:r>
          </w:p>
        </w:tc>
        <w:tc>
          <w:tcPr>
            <w:tcW w:type="dxa" w:w="2033"/>
            <w:shd w:fill="D9EAF7"/>
            <w:vAlign w:val="center"/>
          </w:tcPr>
          <w:p>
            <w:r>
              <w:rPr>
                <w:sz w:val="16"/>
              </w:rPr>
              <w:t>Davies-Bouldin</w:t>
            </w:r>
          </w:p>
        </w:tc>
        <w:tc>
          <w:tcPr>
            <w:tcW w:type="dxa" w:w="2033"/>
            <w:shd w:fill="D9EAF7"/>
            <w:vAlign w:val="center"/>
          </w:tcPr>
          <w:p>
            <w:r>
              <w:rPr>
                <w:sz w:val="16"/>
              </w:rPr>
              <w:t>Calinski-Harabasz</w:t>
            </w:r>
          </w:p>
        </w:tc>
      </w:tr>
      <w:tr>
        <w:tc>
          <w:tcPr>
            <w:tcW w:type="dxa" w:w="2033"/>
            <w:vAlign w:val="center"/>
          </w:tcPr>
          <w:p>
            <w:r>
              <w:rPr>
                <w:sz w:val="16"/>
              </w:rPr>
              <w:t>Online Retail RFM</w:t>
            </w:r>
          </w:p>
        </w:tc>
        <w:tc>
          <w:tcPr>
            <w:tcW w:type="dxa" w:w="2033"/>
            <w:vAlign w:val="center"/>
          </w:tcPr>
          <w:p>
            <w:r>
              <w:rPr>
                <w:sz w:val="16"/>
              </w:rPr>
              <w:t>K-Means K=4</w:t>
            </w:r>
          </w:p>
        </w:tc>
        <w:tc>
          <w:tcPr>
            <w:tcW w:type="dxa" w:w="2033"/>
            <w:vAlign w:val="center"/>
          </w:tcPr>
          <w:p>
            <w:r>
              <w:rPr>
                <w:sz w:val="16"/>
              </w:rPr>
              <w:t>0.2590</w:t>
            </w:r>
          </w:p>
        </w:tc>
        <w:tc>
          <w:tcPr>
            <w:tcW w:type="dxa" w:w="2033"/>
            <w:vAlign w:val="center"/>
          </w:tcPr>
          <w:p>
            <w:r>
              <w:rPr>
                <w:sz w:val="16"/>
              </w:rPr>
              <w:t>1.2343</w:t>
            </w:r>
          </w:p>
        </w:tc>
        <w:tc>
          <w:tcPr>
            <w:tcW w:type="dxa" w:w="2033"/>
            <w:vAlign w:val="center"/>
          </w:tcPr>
          <w:p>
            <w:r>
              <w:rPr>
                <w:sz w:val="16"/>
              </w:rPr>
              <w:t>1,167.70</w:t>
            </w:r>
          </w:p>
        </w:tc>
      </w:tr>
      <w:tr>
        <w:tc>
          <w:tcPr>
            <w:tcW w:type="dxa" w:w="2033"/>
            <w:vAlign w:val="center"/>
          </w:tcPr>
          <w:p>
            <w:r>
              <w:rPr>
                <w:sz w:val="16"/>
              </w:rPr>
              <w:t>Online Retail RFM</w:t>
            </w:r>
          </w:p>
        </w:tc>
        <w:tc>
          <w:tcPr>
            <w:tcW w:type="dxa" w:w="2033"/>
            <w:vAlign w:val="center"/>
          </w:tcPr>
          <w:p>
            <w:r>
              <w:rPr>
                <w:sz w:val="16"/>
              </w:rPr>
              <w:t>Agglomerative K=4 (sample)</w:t>
            </w:r>
          </w:p>
        </w:tc>
        <w:tc>
          <w:tcPr>
            <w:tcW w:type="dxa" w:w="2033"/>
            <w:vAlign w:val="center"/>
          </w:tcPr>
          <w:p>
            <w:r>
              <w:rPr>
                <w:sz w:val="16"/>
              </w:rPr>
              <w:t>0.1777</w:t>
            </w:r>
          </w:p>
        </w:tc>
        <w:tc>
          <w:tcPr>
            <w:tcW w:type="dxa" w:w="2033"/>
            <w:vAlign w:val="center"/>
          </w:tcPr>
          <w:p>
            <w:r>
              <w:rPr>
                <w:sz w:val="16"/>
              </w:rPr>
              <w:t>1.4626</w:t>
            </w:r>
          </w:p>
        </w:tc>
        <w:tc>
          <w:tcPr>
            <w:tcW w:type="dxa" w:w="2033"/>
            <w:vAlign w:val="center"/>
          </w:tcPr>
          <w:p>
            <w:r>
              <w:rPr>
                <w:sz w:val="16"/>
              </w:rPr>
              <w:t>410.36</w:t>
            </w:r>
          </w:p>
        </w:tc>
      </w:tr>
    </w:tbl>
    <w:p>
      <w:r>
        <w:t>Online Retail là phần có tính ứng dụng cao nhất. Cụm khách hàng có thể chuyển thành hành động trong CRM: cá nhân hóa ưu đãi, chăm sóc VIP, phát hiện khách hàng có nguy cơ rời bỏ, tối ưu ngân sách marketing và xây dashboard phân khúc khách hàng.</w:t>
      </w:r>
    </w:p>
    <w:p>
      <w:pPr>
        <w:pStyle w:val="Heading1"/>
      </w:pPr>
      <w:r>
        <w:t>4. So sánh K-Means và phân cụm đa cấp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Pr>
                <w:sz w:val="16"/>
              </w:rPr>
              <w:t>Tiêu chí</w:t>
            </w:r>
          </w:p>
        </w:tc>
        <w:tc>
          <w:tcPr>
            <w:tcW w:type="dxa" w:w="3389"/>
            <w:shd w:fill="D9EAF7"/>
            <w:vAlign w:val="center"/>
          </w:tcPr>
          <w:p>
            <w:r>
              <w:rPr>
                <w:sz w:val="16"/>
              </w:rPr>
              <w:t>K-Means</w:t>
            </w:r>
          </w:p>
        </w:tc>
        <w:tc>
          <w:tcPr>
            <w:tcW w:type="dxa" w:w="3389"/>
            <w:shd w:fill="D9EAF7"/>
            <w:vAlign w:val="center"/>
          </w:tcPr>
          <w:p>
            <w:r>
              <w:rPr>
                <w:sz w:val="16"/>
              </w:rPr>
              <w:t>Agglomerative</w:t>
            </w:r>
          </w:p>
        </w:tc>
      </w:tr>
      <w:tr>
        <w:tc>
          <w:tcPr>
            <w:tcW w:type="dxa" w:w="3389"/>
            <w:vAlign w:val="center"/>
          </w:tcPr>
          <w:p>
            <w:r>
              <w:rPr>
                <w:sz w:val="16"/>
              </w:rPr>
              <w:t>Cách hoạt động</w:t>
            </w:r>
          </w:p>
        </w:tc>
        <w:tc>
          <w:tcPr>
            <w:tcW w:type="dxa" w:w="3389"/>
            <w:vAlign w:val="center"/>
          </w:tcPr>
          <w:p>
            <w:r>
              <w:rPr>
                <w:sz w:val="16"/>
              </w:rPr>
              <w:t>Chọn K, khởi tạo centroid, gán điểm vào cụm gần nhất và cập nhật lặp lại</w:t>
            </w:r>
          </w:p>
        </w:tc>
        <w:tc>
          <w:tcPr>
            <w:tcW w:type="dxa" w:w="3389"/>
            <w:vAlign w:val="center"/>
          </w:tcPr>
          <w:p>
            <w:r>
              <w:rPr>
                <w:sz w:val="16"/>
              </w:rPr>
              <w:t>Mỗi điểm là một cụm ban đầu rồi gộp dần theo khoảng cách/linkage</w:t>
            </w:r>
          </w:p>
        </w:tc>
      </w:tr>
      <w:tr>
        <w:tc>
          <w:tcPr>
            <w:tcW w:type="dxa" w:w="3389"/>
            <w:vAlign w:val="center"/>
          </w:tcPr>
          <w:p>
            <w:r>
              <w:rPr>
                <w:sz w:val="16"/>
              </w:rPr>
              <w:t>Điểm mạnh</w:t>
            </w:r>
          </w:p>
        </w:tc>
        <w:tc>
          <w:tcPr>
            <w:tcW w:type="dxa" w:w="3389"/>
            <w:vAlign w:val="center"/>
          </w:tcPr>
          <w:p>
            <w:r>
              <w:rPr>
                <w:sz w:val="16"/>
              </w:rPr>
              <w:t>Nhanh, dễ mở rộng, phù hợp dữ liệu lớn</w:t>
            </w:r>
          </w:p>
        </w:tc>
        <w:tc>
          <w:tcPr>
            <w:tcW w:type="dxa" w:w="3389"/>
            <w:vAlign w:val="center"/>
          </w:tcPr>
          <w:p>
            <w:r>
              <w:rPr>
                <w:sz w:val="16"/>
              </w:rPr>
              <w:t>Có dendrogram, dễ giải thích cấu trúc phân cấp</w:t>
            </w:r>
          </w:p>
        </w:tc>
      </w:tr>
      <w:tr>
        <w:tc>
          <w:tcPr>
            <w:tcW w:type="dxa" w:w="3389"/>
            <w:vAlign w:val="center"/>
          </w:tcPr>
          <w:p>
            <w:r>
              <w:rPr>
                <w:sz w:val="16"/>
              </w:rPr>
              <w:t>Hạn chế</w:t>
            </w:r>
          </w:p>
        </w:tc>
        <w:tc>
          <w:tcPr>
            <w:tcW w:type="dxa" w:w="3389"/>
            <w:vAlign w:val="center"/>
          </w:tcPr>
          <w:p>
            <w:r>
              <w:rPr>
                <w:sz w:val="16"/>
              </w:rPr>
              <w:t>Cần chọn K trước, nhạy outlier và thang đo</w:t>
            </w:r>
          </w:p>
        </w:tc>
        <w:tc>
          <w:tcPr>
            <w:tcW w:type="dxa" w:w="3389"/>
            <w:vAlign w:val="center"/>
          </w:tcPr>
          <w:p>
            <w:r>
              <w:rPr>
                <w:sz w:val="16"/>
              </w:rPr>
              <w:t>Tốn tài nguyên hơn với dữ liệu lớn</w:t>
            </w:r>
          </w:p>
        </w:tc>
      </w:tr>
      <w:tr>
        <w:tc>
          <w:tcPr>
            <w:tcW w:type="dxa" w:w="3389"/>
            <w:vAlign w:val="center"/>
          </w:tcPr>
          <w:p>
            <w:r>
              <w:rPr>
                <w:sz w:val="16"/>
              </w:rPr>
              <w:t>Khi nên dùng</w:t>
            </w:r>
          </w:p>
        </w:tc>
        <w:tc>
          <w:tcPr>
            <w:tcW w:type="dxa" w:w="3389"/>
            <w:vAlign w:val="center"/>
          </w:tcPr>
          <w:p>
            <w:r>
              <w:rPr>
                <w:sz w:val="16"/>
              </w:rPr>
              <w:t>Khi cần phân nhóm nhanh để ứng dụng CRM/marketing</w:t>
            </w:r>
          </w:p>
        </w:tc>
        <w:tc>
          <w:tcPr>
            <w:tcW w:type="dxa" w:w="3389"/>
            <w:vAlign w:val="center"/>
          </w:tcPr>
          <w:p>
            <w:r>
              <w:rPr>
                <w:sz w:val="16"/>
              </w:rPr>
              <w:t>Khi muốn phân tích quan hệ phân cấp hoặc dữ liệu không quá lớn</w:t>
            </w:r>
          </w:p>
        </w:tc>
      </w:tr>
    </w:tbl>
    <w:p>
      <w:pPr>
        <w:pStyle w:val="Heading1"/>
      </w:pPr>
      <w:r>
        <w:t>5. Kết luận</w:t>
      </w:r>
    </w:p>
    <w:p>
      <w:r>
        <w:t>Lab03 cho thấy phân cụm là công cụ mạnh để khám phá cấu trúc ẩn. Penguins giúp minh họa phân cụm theo hình thái, còn Online Retail có khả năng ứng dụng trực tiếp vào kinh doanh. Khi triển khai thực tế, cần chuẩn hóa dữ liệu, xử lý ngoại lai, thử nhiều K và chọn số cụm không chỉ theo điểm số mà còn theo khả năng diễn giải và hành động.</w:t>
      </w:r>
    </w:p>
    <w:p>
      <w:pPr>
        <w:pStyle w:val="Heading1"/>
      </w:pPr>
      <w:r>
        <w:t>Phụ lục: Cách chạy code</w:t>
      </w:r>
    </w:p>
    <w:p>
      <w:r>
        <w:t>Đặt file lab03_super_report.py cùng thư mục với penguins.csv và OnlineRetail.csv, sau đó chạy:</w:t>
      </w:r>
    </w:p>
    <w:p>
      <w:pPr>
        <w:pStyle w:val="IntenseQuote"/>
      </w:pPr>
      <w:r>
        <w:t>pip install pandas numpy matplotlib scikit-learn scipy python-docx</w:t>
        <w:br/>
        <w:t>python lab03_super_report.py</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