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3903" w14:textId="77777777" w:rsidR="00717496" w:rsidRDefault="00000000">
      <w:pPr>
        <w:spacing w:before="1440" w:after="240"/>
        <w:jc w:val="center"/>
      </w:pPr>
      <w:r>
        <w:rPr>
          <w:rFonts w:ascii="Calibri" w:eastAsia="Calibri" w:hAnsi="Calibri" w:cs="Calibri"/>
          <w:b/>
          <w:bCs/>
          <w:color w:val="1A5276"/>
          <w:sz w:val="40"/>
          <w:szCs w:val="40"/>
        </w:rPr>
        <w:t>BANK MARKETING CAMPAIGN</w:t>
      </w:r>
    </w:p>
    <w:p w14:paraId="3C92E83B" w14:textId="77777777" w:rsidR="00717496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1C1C1C"/>
          <w:sz w:val="30"/>
          <w:szCs w:val="30"/>
        </w:rPr>
        <w:t>Business Analytics Case Study Report</w:t>
      </w:r>
    </w:p>
    <w:p w14:paraId="6AE3E57D" w14:textId="77777777" w:rsidR="00717496" w:rsidRDefault="00000000">
      <w:pPr>
        <w:spacing w:after="12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AnalystLab</w:t>
      </w:r>
      <w:proofErr w:type="spellEnd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Africa Data Analytics Internship — Week 5</w:t>
      </w:r>
    </w:p>
    <w:p w14:paraId="43E7E63E" w14:textId="77777777" w:rsidR="00717496" w:rsidRDefault="00000000">
      <w:pPr>
        <w:spacing w:after="12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Prepared by: Abioye Stephen Ayodeji</w:t>
      </w:r>
    </w:p>
    <w:p w14:paraId="3278BFDA" w14:textId="77777777" w:rsidR="00717496" w:rsidRDefault="00000000">
      <w:pPr>
        <w:spacing w:after="144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July 2026</w:t>
      </w:r>
    </w:p>
    <w:p w14:paraId="5D64D42D" w14:textId="77777777" w:rsidR="00717496" w:rsidRDefault="00000000">
      <w:pPr>
        <w:pBdr>
          <w:bottom w:val="single" w:sz="8" w:space="2" w:color="1A5276"/>
        </w:pBdr>
        <w:spacing w:before="360" w:after="12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1. INTRODUCTION</w:t>
      </w:r>
    </w:p>
    <w:p w14:paraId="002CB538" w14:textId="77777777" w:rsidR="00717496" w:rsidRDefault="00000000" w:rsidP="0073055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This report presents a business analytics case study conducted on the Bank Marketing Dataset as part of Week 5 of the 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AnalystLab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 xml:space="preserve"> Africa Data Analytics Internship </w:t>
      </w:r>
      <w:proofErr w:type="spellStart"/>
      <w:r>
        <w:rPr>
          <w:rFonts w:ascii="Calibri" w:eastAsia="Calibri" w:hAnsi="Calibri" w:cs="Calibri"/>
          <w:color w:val="1C1C1C"/>
          <w:sz w:val="22"/>
          <w:szCs w:val="22"/>
        </w:rPr>
        <w:t>Programme</w:t>
      </w:r>
      <w:proofErr w:type="spellEnd"/>
      <w:r>
        <w:rPr>
          <w:rFonts w:ascii="Calibri" w:eastAsia="Calibri" w:hAnsi="Calibri" w:cs="Calibri"/>
          <w:color w:val="1C1C1C"/>
          <w:sz w:val="22"/>
          <w:szCs w:val="22"/>
        </w:rPr>
        <w:t>. The dataset contains information about direct marketing campaigns conducted by a Portuguese banking institution, where the primary goal was to convince customers to subscribe to a term deposit product.</w:t>
      </w:r>
    </w:p>
    <w:p w14:paraId="4E30C3EA" w14:textId="28906151" w:rsidR="00717496" w:rsidRDefault="00000000" w:rsidP="0073055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The analysis applies exploratory data analysis techniques to identify customer segments, campaign patterns, and 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behavioral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factors that most strongly predict whether a customer will subscribe. The findings and recommendations in this report are designed to support marketing decision-makers in 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optimizing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future campaigns for greater efficiency and return.</w:t>
      </w:r>
    </w:p>
    <w:p w14:paraId="3FD8C60B" w14:textId="77777777" w:rsidR="00717496" w:rsidRDefault="00000000">
      <w:pPr>
        <w:pBdr>
          <w:bottom w:val="single" w:sz="8" w:space="2" w:color="1A5276"/>
        </w:pBdr>
        <w:spacing w:before="360" w:after="12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2. BUSINESS PROBLEM STATEMENT</w:t>
      </w:r>
    </w:p>
    <w:p w14:paraId="7A327AA5" w14:textId="77777777" w:rsidR="00717496" w:rsidRDefault="00000000" w:rsidP="0073055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The bank's marketing team contacts customers by telephone to promote term deposit subscriptions. Despite the effort invested in these campaigns, not all customers convert. The core business challenge is:</w:t>
      </w:r>
    </w:p>
    <w:p w14:paraId="7D98064C" w14:textId="5DB4D065" w:rsidR="00717496" w:rsidRDefault="00000000" w:rsidP="0073055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"Why do some customers subscribe to term deposits while others do not, and which customer segments should the bank 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prioritize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in future campaigns to 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maximize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conversion rates and 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minimize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wasted campaign spend?"</w:t>
      </w:r>
    </w:p>
    <w:p w14:paraId="4C368346" w14:textId="77777777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>Understanding the answer to this question allows the bank to:</w:t>
      </w:r>
    </w:p>
    <w:p w14:paraId="62570366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Target the right customers at the right time</w:t>
      </w:r>
    </w:p>
    <w:p w14:paraId="3F2A3A45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Reduce the cost of unsuccessful campaign calls</w:t>
      </w:r>
    </w:p>
    <w:p w14:paraId="520A3737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Improve agent efficiency and campaign ROI</w:t>
      </w:r>
    </w:p>
    <w:p w14:paraId="6CF52420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Design tailored messaging for different customer segments</w:t>
      </w:r>
    </w:p>
    <w:p w14:paraId="5C354F56" w14:textId="77777777" w:rsidR="00730550" w:rsidRDefault="00730550">
      <w:pPr>
        <w:pBdr>
          <w:bottom w:val="single" w:sz="8" w:space="2" w:color="1A5276"/>
        </w:pBdr>
        <w:spacing w:before="360" w:after="120"/>
        <w:rPr>
          <w:rFonts w:ascii="Calibri" w:eastAsia="Calibri" w:hAnsi="Calibri" w:cs="Calibri"/>
          <w:b/>
          <w:bCs/>
          <w:color w:val="1A5276"/>
          <w:sz w:val="28"/>
          <w:szCs w:val="28"/>
        </w:rPr>
      </w:pPr>
    </w:p>
    <w:p w14:paraId="1377D617" w14:textId="7CAB8C61" w:rsidR="00717496" w:rsidRDefault="00000000">
      <w:pPr>
        <w:pBdr>
          <w:bottom w:val="single" w:sz="8" w:space="2" w:color="1A5276"/>
        </w:pBdr>
        <w:spacing w:before="360" w:after="12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lastRenderedPageBreak/>
        <w:t>3. DATASET DESCRIPTION</w:t>
      </w:r>
    </w:p>
    <w:p w14:paraId="775CEA92" w14:textId="77777777" w:rsidR="00717496" w:rsidRDefault="00000000" w:rsidP="0073055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The Bank Marketing Dataset sourced from Kaggle contains 11,162 customer records with 17 variables capturing demographic information, financial profile, campaign contact details, and the outcome of the campaign.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0"/>
        <w:gridCol w:w="3740"/>
      </w:tblGrid>
      <w:tr w:rsidR="00717496" w14:paraId="2A5F490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4F6F8"/>
          </w:tcPr>
          <w:p w14:paraId="429FE869" w14:textId="77777777" w:rsidR="00717496" w:rsidRDefault="00000000">
            <w:r>
              <w:rPr>
                <w:rFonts w:ascii="Calibri" w:eastAsia="Calibri" w:hAnsi="Calibri" w:cs="Calibri"/>
                <w:color w:val="1C1C1C"/>
              </w:rPr>
              <w:t>Total Records</w:t>
            </w:r>
          </w:p>
        </w:tc>
        <w:tc>
          <w:tcPr>
            <w:tcW w:w="2000" w:type="pct"/>
            <w:shd w:val="clear" w:color="auto" w:fill="FFFFFF"/>
          </w:tcPr>
          <w:p w14:paraId="0BA3EA46" w14:textId="77777777" w:rsidR="00717496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11,162 customers</w:t>
            </w:r>
          </w:p>
        </w:tc>
      </w:tr>
      <w:tr w:rsidR="00717496" w14:paraId="2BF6E5F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4F6F8"/>
          </w:tcPr>
          <w:p w14:paraId="2480B9CE" w14:textId="77777777" w:rsidR="00717496" w:rsidRDefault="00000000">
            <w:r>
              <w:rPr>
                <w:rFonts w:ascii="Calibri" w:eastAsia="Calibri" w:hAnsi="Calibri" w:cs="Calibri"/>
                <w:color w:val="1C1C1C"/>
              </w:rPr>
              <w:t>Total Columns</w:t>
            </w:r>
          </w:p>
        </w:tc>
        <w:tc>
          <w:tcPr>
            <w:tcW w:w="2000" w:type="pct"/>
            <w:shd w:val="clear" w:color="auto" w:fill="FFFFFF"/>
          </w:tcPr>
          <w:p w14:paraId="7964D2C6" w14:textId="77777777" w:rsidR="00717496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17 variables</w:t>
            </w:r>
          </w:p>
        </w:tc>
      </w:tr>
      <w:tr w:rsidR="00717496" w14:paraId="3E33585C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4F6F8"/>
          </w:tcPr>
          <w:p w14:paraId="39E06409" w14:textId="77777777" w:rsidR="00717496" w:rsidRDefault="00000000">
            <w:r>
              <w:rPr>
                <w:rFonts w:ascii="Calibri" w:eastAsia="Calibri" w:hAnsi="Calibri" w:cs="Calibri"/>
                <w:color w:val="1C1C1C"/>
              </w:rPr>
              <w:t>Missing Values</w:t>
            </w:r>
          </w:p>
        </w:tc>
        <w:tc>
          <w:tcPr>
            <w:tcW w:w="2000" w:type="pct"/>
            <w:shd w:val="clear" w:color="auto" w:fill="FFFFFF"/>
          </w:tcPr>
          <w:p w14:paraId="706A6F0E" w14:textId="77777777" w:rsidR="00717496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Zero — clean dataset</w:t>
            </w:r>
          </w:p>
        </w:tc>
      </w:tr>
      <w:tr w:rsidR="00717496" w14:paraId="73C13CF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4F6F8"/>
          </w:tcPr>
          <w:p w14:paraId="52D18708" w14:textId="77777777" w:rsidR="00717496" w:rsidRDefault="00000000">
            <w:r>
              <w:rPr>
                <w:rFonts w:ascii="Calibri" w:eastAsia="Calibri" w:hAnsi="Calibri" w:cs="Calibri"/>
                <w:color w:val="1C1C1C"/>
              </w:rPr>
              <w:t>Target Variable</w:t>
            </w:r>
          </w:p>
        </w:tc>
        <w:tc>
          <w:tcPr>
            <w:tcW w:w="2000" w:type="pct"/>
            <w:shd w:val="clear" w:color="auto" w:fill="FFFFFF"/>
          </w:tcPr>
          <w:p w14:paraId="4B360DEE" w14:textId="77777777" w:rsidR="00717496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deposit (yes / no)</w:t>
            </w:r>
          </w:p>
        </w:tc>
      </w:tr>
      <w:tr w:rsidR="00717496" w14:paraId="26231509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F4F6F8"/>
          </w:tcPr>
          <w:p w14:paraId="574E0529" w14:textId="77777777" w:rsidR="00717496" w:rsidRDefault="00000000">
            <w:r>
              <w:rPr>
                <w:rFonts w:ascii="Calibri" w:eastAsia="Calibri" w:hAnsi="Calibri" w:cs="Calibri"/>
                <w:color w:val="1C1C1C"/>
              </w:rPr>
              <w:t>Overall Subscription Rate</w:t>
            </w:r>
          </w:p>
        </w:tc>
        <w:tc>
          <w:tcPr>
            <w:tcW w:w="2000" w:type="pct"/>
            <w:shd w:val="clear" w:color="auto" w:fill="FFFFFF"/>
          </w:tcPr>
          <w:p w14:paraId="6728DFEA" w14:textId="77777777" w:rsidR="00717496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47.4% (5,289 subscribers)</w:t>
            </w:r>
          </w:p>
        </w:tc>
      </w:tr>
    </w:tbl>
    <w:p w14:paraId="2AEACBDE" w14:textId="77777777" w:rsidR="00717496" w:rsidRDefault="00000000">
      <w:pPr>
        <w:spacing w:before="120" w:after="8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Key Variable Categories:</w:t>
      </w:r>
    </w:p>
    <w:p w14:paraId="0C9BD613" w14:textId="77777777" w:rsidR="00717496" w:rsidRDefault="00000000" w:rsidP="0073055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Demographics: age, job, marital status, education</w:t>
      </w:r>
    </w:p>
    <w:p w14:paraId="517042E2" w14:textId="77777777" w:rsidR="00717496" w:rsidRDefault="00000000" w:rsidP="0073055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Financial Profile: account balance, housing loan, personal loan, credit default status</w:t>
      </w:r>
    </w:p>
    <w:p w14:paraId="5AC2C9D7" w14:textId="77777777" w:rsidR="00717496" w:rsidRDefault="00000000" w:rsidP="0073055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Campaign Details: contact method, day and month of contact, number of calls, call duration</w:t>
      </w:r>
    </w:p>
    <w:p w14:paraId="7DC632F7" w14:textId="77777777" w:rsidR="00717496" w:rsidRDefault="00000000" w:rsidP="0073055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Previous Campaign: days since last contact, previous contacts, previous campaign outcome</w:t>
      </w:r>
    </w:p>
    <w:p w14:paraId="379E2338" w14:textId="77777777" w:rsidR="00717496" w:rsidRDefault="00000000" w:rsidP="0073055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Target: deposit (yes = subscribed to term deposit, no = did not subscribe)</w:t>
      </w:r>
    </w:p>
    <w:p w14:paraId="48B9EDFD" w14:textId="77777777" w:rsidR="00717496" w:rsidRDefault="00000000">
      <w:pPr>
        <w:pBdr>
          <w:bottom w:val="single" w:sz="8" w:space="2" w:color="1A5276"/>
        </w:pBdr>
        <w:spacing w:before="360" w:after="12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4. DATA ANALYSIS PROCESS</w:t>
      </w:r>
    </w:p>
    <w:p w14:paraId="1FEBEA2A" w14:textId="77777777" w:rsidR="007174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4.1 Overall Conversion Rate</w:t>
      </w:r>
    </w:p>
    <w:p w14:paraId="38830C46" w14:textId="77777777" w:rsidR="00717496" w:rsidRDefault="00000000" w:rsidP="0073055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Of the 11,162 customers contacted, 5,289 (47.4%) subscribed to a term deposit while 5,873 (52.6%) did not. The near-even split indicates a reasonably effective campaign overall, but significant opportunity remains to improve targeting precision.</w:t>
      </w:r>
    </w:p>
    <w:p w14:paraId="167AAA0E" w14:textId="77777777" w:rsidR="007174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4.2 Conversion Rate by Job Type</w:t>
      </w:r>
    </w:p>
    <w:p w14:paraId="7ADA9FA4" w14:textId="78D099D9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Job type is a strong predictor of subscription 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behavior</w:t>
      </w:r>
      <w:r>
        <w:rPr>
          <w:rFonts w:ascii="Calibri" w:eastAsia="Calibri" w:hAnsi="Calibri" w:cs="Calibri"/>
          <w:color w:val="1C1C1C"/>
          <w:sz w:val="22"/>
          <w:szCs w:val="22"/>
        </w:rPr>
        <w:t>:</w:t>
      </w:r>
    </w:p>
    <w:p w14:paraId="302B5E80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Students: 74.7% conversion rate — highest of any job category</w:t>
      </w:r>
    </w:p>
    <w:p w14:paraId="0AD51B29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Retired: </w:t>
      </w:r>
      <w:proofErr w:type="gramStart"/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66.3% —</w:t>
      </w:r>
      <w:proofErr w:type="gramEnd"/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 second highest, likely driven by financial security and time flexibility</w:t>
      </w:r>
    </w:p>
    <w:p w14:paraId="2C7FB263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Unemployed: </w:t>
      </w:r>
      <w:proofErr w:type="gramStart"/>
      <w:r>
        <w:rPr>
          <w:rFonts w:ascii="Calibri" w:eastAsia="Calibri" w:hAnsi="Calibri" w:cs="Calibri"/>
          <w:color w:val="1C1C1C"/>
          <w:sz w:val="22"/>
          <w:szCs w:val="22"/>
        </w:rPr>
        <w:t>56.6% —</w:t>
      </w:r>
      <w:proofErr w:type="gramEnd"/>
      <w:r>
        <w:rPr>
          <w:rFonts w:ascii="Calibri" w:eastAsia="Calibri" w:hAnsi="Calibri" w:cs="Calibri"/>
          <w:color w:val="1C1C1C"/>
          <w:sz w:val="22"/>
          <w:szCs w:val="22"/>
        </w:rPr>
        <w:t xml:space="preserve"> surprisingly high, possibly seeking financial security</w:t>
      </w:r>
    </w:p>
    <w:p w14:paraId="39EB462C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Blue-collar: </w:t>
      </w:r>
      <w:proofErr w:type="gramStart"/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36.4% —</w:t>
      </w:r>
      <w:proofErr w:type="gramEnd"/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 xml:space="preserve"> lowest conversion rate of any named group</w:t>
      </w:r>
    </w:p>
    <w:p w14:paraId="11EFE765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Entrepreneurs: 37.5% and Housemaids: 39.8% — also underperforming segments</w:t>
      </w:r>
    </w:p>
    <w:p w14:paraId="3B8CC643" w14:textId="77777777" w:rsidR="007174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4.3 Conversion Rate by Age Group</w:t>
      </w:r>
    </w:p>
    <w:p w14:paraId="229ED780" w14:textId="77777777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>Conversion follows a distinctive U-shaped pattern across age groups:</w:t>
      </w:r>
    </w:p>
    <w:p w14:paraId="42BE1733" w14:textId="688A9C7A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Under 25: 7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3</w:t>
      </w:r>
      <w:r>
        <w:rPr>
          <w:rFonts w:ascii="Calibri" w:eastAsia="Calibri" w:hAnsi="Calibri" w:cs="Calibri"/>
          <w:color w:val="1C1C1C"/>
          <w:sz w:val="22"/>
          <w:szCs w:val="22"/>
        </w:rPr>
        <w:t>.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4</w:t>
      </w:r>
      <w:r>
        <w:rPr>
          <w:rFonts w:ascii="Calibri" w:eastAsia="Calibri" w:hAnsi="Calibri" w:cs="Calibri"/>
          <w:color w:val="1C1C1C"/>
          <w:sz w:val="22"/>
          <w:szCs w:val="22"/>
        </w:rPr>
        <w:t>% — young customers most receptive</w:t>
      </w:r>
    </w:p>
    <w:p w14:paraId="118CE73B" w14:textId="636041B3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65 and above: 80.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2</w:t>
      </w:r>
      <w:r>
        <w:rPr>
          <w:rFonts w:ascii="Calibri" w:eastAsia="Calibri" w:hAnsi="Calibri" w:cs="Calibri"/>
          <w:color w:val="1C1C1C"/>
          <w:sz w:val="22"/>
          <w:szCs w:val="22"/>
        </w:rPr>
        <w:t>% — elderly customers most likely to subscribe</w:t>
      </w:r>
    </w:p>
    <w:p w14:paraId="658F84E5" w14:textId="773B9B6E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35–44: 41.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7</w:t>
      </w:r>
      <w:r>
        <w:rPr>
          <w:rFonts w:ascii="Calibri" w:eastAsia="Calibri" w:hAnsi="Calibri" w:cs="Calibri"/>
          <w:color w:val="1C1C1C"/>
          <w:sz w:val="22"/>
          <w:szCs w:val="22"/>
        </w:rPr>
        <w:t>% — weakest performing age group</w:t>
      </w:r>
    </w:p>
    <w:p w14:paraId="4DEA2373" w14:textId="18F9E12E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45–54: 41.</w:t>
      </w:r>
      <w:r w:rsidR="00730550">
        <w:rPr>
          <w:rFonts w:ascii="Calibri" w:eastAsia="Calibri" w:hAnsi="Calibri" w:cs="Calibri"/>
          <w:color w:val="1C1C1C"/>
          <w:sz w:val="22"/>
          <w:szCs w:val="22"/>
        </w:rPr>
        <w:t>9</w:t>
      </w:r>
      <w:r>
        <w:rPr>
          <w:rFonts w:ascii="Calibri" w:eastAsia="Calibri" w:hAnsi="Calibri" w:cs="Calibri"/>
          <w:color w:val="1C1C1C"/>
          <w:sz w:val="22"/>
          <w:szCs w:val="22"/>
        </w:rPr>
        <w:t>% — similarly low conversion in middle-aged segment</w:t>
      </w:r>
    </w:p>
    <w:p w14:paraId="2A5EDFF3" w14:textId="77777777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>This U-shaped pattern suggests that the bank's core working-age demographic (35–54) is its hardest segment to convert, while younger and older customers are significantly more receptive.</w:t>
      </w:r>
    </w:p>
    <w:p w14:paraId="14C239B5" w14:textId="77777777" w:rsidR="007174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4.4 Conversion by Contact Method</w:t>
      </w:r>
    </w:p>
    <w:p w14:paraId="7A2C92B7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Cellular: 54.3% conversion — highest performing contact channel</w:t>
      </w:r>
    </w:p>
    <w:p w14:paraId="1B057F01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lastRenderedPageBreak/>
        <w:t>Telephone: 50.4%</w:t>
      </w:r>
    </w:p>
    <w:p w14:paraId="3CE5FB0B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Unknown contact method: </w:t>
      </w:r>
      <w:proofErr w:type="gramStart"/>
      <w:r>
        <w:rPr>
          <w:rFonts w:ascii="Calibri" w:eastAsia="Calibri" w:hAnsi="Calibri" w:cs="Calibri"/>
          <w:color w:val="1C1C1C"/>
          <w:sz w:val="22"/>
          <w:szCs w:val="22"/>
        </w:rPr>
        <w:t>22.6% —</w:t>
      </w:r>
      <w:proofErr w:type="gramEnd"/>
      <w:r>
        <w:rPr>
          <w:rFonts w:ascii="Calibri" w:eastAsia="Calibri" w:hAnsi="Calibri" w:cs="Calibri"/>
          <w:color w:val="1C1C1C"/>
          <w:sz w:val="22"/>
          <w:szCs w:val="22"/>
        </w:rPr>
        <w:t xml:space="preserve"> dramatically lower conversion rate</w:t>
      </w:r>
    </w:p>
    <w:p w14:paraId="5DDC98E1" w14:textId="77777777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>Customers whose contact method is unknown are nearly impossible to convert effectively. Validating contact information before campaigns launch is critical.</w:t>
      </w:r>
    </w:p>
    <w:p w14:paraId="72E1DF4E" w14:textId="77777777" w:rsidR="007174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4.5 Previous Campaign Outcome</w:t>
      </w:r>
    </w:p>
    <w:p w14:paraId="5E409EEE" w14:textId="77777777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>The most powerful single predictor in the dataset is the outcome of a previous campaign:</w:t>
      </w:r>
    </w:p>
    <w:p w14:paraId="701E0A5E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C1C1C"/>
          <w:sz w:val="22"/>
          <w:szCs w:val="22"/>
        </w:rPr>
        <w:t>Previous success: 91.3% — customers who said yes before will almost certainly say yes again</w:t>
      </w:r>
    </w:p>
    <w:p w14:paraId="4B80A64B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Previous failure: 50.3%</w:t>
      </w:r>
    </w:p>
    <w:p w14:paraId="217865B0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Unknown (no previous contact): 40.7%</w:t>
      </w:r>
    </w:p>
    <w:p w14:paraId="22E1CDA2" w14:textId="77777777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A customer who subscribed in a prior campaign is nearly guaranteed to subscribe again. This segment must be the </w:t>
      </w:r>
      <w:proofErr w:type="gramStart"/>
      <w:r>
        <w:rPr>
          <w:rFonts w:ascii="Calibri" w:eastAsia="Calibri" w:hAnsi="Calibri" w:cs="Calibri"/>
          <w:color w:val="1C1C1C"/>
          <w:sz w:val="22"/>
          <w:szCs w:val="22"/>
        </w:rPr>
        <w:t>first priority</w:t>
      </w:r>
      <w:proofErr w:type="gramEnd"/>
      <w:r>
        <w:rPr>
          <w:rFonts w:ascii="Calibri" w:eastAsia="Calibri" w:hAnsi="Calibri" w:cs="Calibri"/>
          <w:color w:val="1C1C1C"/>
          <w:sz w:val="22"/>
          <w:szCs w:val="22"/>
        </w:rPr>
        <w:t xml:space="preserve"> in every future campaign.</w:t>
      </w:r>
    </w:p>
    <w:p w14:paraId="4B9A7846" w14:textId="77777777" w:rsidR="007174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4.6 Call Duration Analysis</w:t>
      </w:r>
    </w:p>
    <w:p w14:paraId="0004E6A8" w14:textId="77777777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>Average call duration differs significantly between outcomes:</w:t>
      </w:r>
    </w:p>
    <w:p w14:paraId="57116A9C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Subscribers: average 537 seconds (approximately 9 minutes)</w:t>
      </w:r>
    </w:p>
    <w:p w14:paraId="5233C9A0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Non-subscribers: average 223 seconds (approximately 3.7 minutes)</w:t>
      </w:r>
    </w:p>
    <w:p w14:paraId="27CAD67E" w14:textId="77777777" w:rsidR="00717496" w:rsidRDefault="00000000" w:rsidP="00BA294E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Longer calls strongly correlate with subscription. This suggests that agents who invest more </w:t>
      </w:r>
      <w:proofErr w:type="gramStart"/>
      <w:r>
        <w:rPr>
          <w:rFonts w:ascii="Calibri" w:eastAsia="Calibri" w:hAnsi="Calibri" w:cs="Calibri"/>
          <w:color w:val="1C1C1C"/>
          <w:sz w:val="22"/>
          <w:szCs w:val="22"/>
        </w:rPr>
        <w:t>time</w:t>
      </w:r>
      <w:proofErr w:type="gramEnd"/>
      <w:r>
        <w:rPr>
          <w:rFonts w:ascii="Calibri" w:eastAsia="Calibri" w:hAnsi="Calibri" w:cs="Calibri"/>
          <w:color w:val="1C1C1C"/>
          <w:sz w:val="22"/>
          <w:szCs w:val="22"/>
        </w:rPr>
        <w:t xml:space="preserve"> building rapport and explaining the product achieve significantly better results than those who rush through scripted pitches.</w:t>
      </w:r>
    </w:p>
    <w:p w14:paraId="2B9371AC" w14:textId="77777777" w:rsidR="007174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4.7 Monthly Campaign Performance</w:t>
      </w:r>
    </w:p>
    <w:p w14:paraId="527C9B6A" w14:textId="77777777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>Conversion rates vary dramatically by month:</w:t>
      </w:r>
    </w:p>
    <w:p w14:paraId="116319BC" w14:textId="61FEEF9A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Best months: December (90.9%), March (89.9%), September (84.3%)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 xml:space="preserve">, 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>October (82.4%)</w:t>
      </w:r>
    </w:p>
    <w:p w14:paraId="21DF0E2D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Worst months: May (32.8%), January (41.3%), July (41.4%)</w:t>
      </w:r>
    </w:p>
    <w:p w14:paraId="052F95C4" w14:textId="77777777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>The bank appears to run its heaviest campaigns in May, yet May delivers the worst conversion rate. Reallocating campaign resources to Q4 and early spring could dramatically improve results.</w:t>
      </w:r>
    </w:p>
    <w:p w14:paraId="0D912346" w14:textId="77777777" w:rsidR="00717496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4.8 Impact of Existing Debt</w:t>
      </w:r>
    </w:p>
    <w:p w14:paraId="1402E835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No housing loan: 57.0% conversion vs Has housing loan: 36.6%</w:t>
      </w:r>
    </w:p>
    <w:p w14:paraId="4E93006F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No personal loan: 49.5% conversion vs Has personal loan: 33.2%</w:t>
      </w:r>
    </w:p>
    <w:p w14:paraId="78849197" w14:textId="77777777" w:rsidR="00717496" w:rsidRDefault="00000000">
      <w:pPr>
        <w:spacing w:before="80" w:after="80"/>
      </w:pPr>
      <w:r>
        <w:rPr>
          <w:rFonts w:ascii="Calibri" w:eastAsia="Calibri" w:hAnsi="Calibri" w:cs="Calibri"/>
          <w:color w:val="1C1C1C"/>
          <w:sz w:val="22"/>
          <w:szCs w:val="22"/>
        </w:rPr>
        <w:t>Customers carrying existing debt obligations are significantly less likely to commit additional funds to a term deposit. Financial burden is a key barrier to subscription.</w:t>
      </w:r>
    </w:p>
    <w:p w14:paraId="10D243F2" w14:textId="77777777" w:rsidR="00717496" w:rsidRDefault="00000000">
      <w:pPr>
        <w:pBdr>
          <w:bottom w:val="single" w:sz="8" w:space="2" w:color="1A5276"/>
        </w:pBdr>
        <w:spacing w:before="360" w:after="12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5. KEY FINDINGS</w:t>
      </w:r>
    </w:p>
    <w:p w14:paraId="6D855894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The overall conversion rate is 47.4%, leaving significant room for improvement through better targeting</w:t>
      </w:r>
    </w:p>
    <w:p w14:paraId="2FA4126A" w14:textId="49FEF745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Students and retired customers are the 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>highest converting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job segments at 74.7% and 66.3% respectively</w:t>
      </w:r>
    </w:p>
    <w:p w14:paraId="44632EAB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Conversion follows a U-shaped age curve — youngest (&lt;25) and oldest (65+) customers convert best</w:t>
      </w:r>
    </w:p>
    <w:p w14:paraId="2C023EDF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Previous campaign success is the single strongest predictor with a 91.3% conversion rate</w:t>
      </w:r>
    </w:p>
    <w:p w14:paraId="6D32C84D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lastRenderedPageBreak/>
        <w:t>Cellular contact outperforms all other methods at 54.3% vs 22.6% for unknown contacts</w:t>
      </w:r>
    </w:p>
    <w:p w14:paraId="503B2343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Longer call duration (537 sec vs 223 sec) strongly correlates with subscription</w:t>
      </w:r>
    </w:p>
    <w:p w14:paraId="07C4B3C2" w14:textId="6D7D976A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Campaign timing is poorly 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>optimized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— May campaigns deliver only 32.8% conversion</w:t>
      </w:r>
    </w:p>
    <w:p w14:paraId="2030DAF7" w14:textId="77777777" w:rsidR="0071749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1C1C"/>
          <w:sz w:val="22"/>
          <w:szCs w:val="22"/>
        </w:rPr>
        <w:t>Customers with housing or personal loans are significantly less likely to subscribe</w:t>
      </w:r>
    </w:p>
    <w:p w14:paraId="0D4D0622" w14:textId="77777777" w:rsidR="00717496" w:rsidRDefault="00000000">
      <w:pPr>
        <w:pBdr>
          <w:bottom w:val="single" w:sz="8" w:space="2" w:color="1A5276"/>
        </w:pBdr>
        <w:spacing w:before="360" w:after="12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6. BUSINESS INSIGHTS</w:t>
      </w:r>
    </w:p>
    <w:p w14:paraId="5EF0F601" w14:textId="147219A2" w:rsidR="00717496" w:rsidRDefault="00000000" w:rsidP="00BA294E">
      <w:pPr>
        <w:spacing w:before="80" w:after="80"/>
        <w:jc w:val="both"/>
      </w:pPr>
      <w:r w:rsidRPr="00BA294E">
        <w:rPr>
          <w:rFonts w:ascii="Calibri" w:eastAsia="Calibri" w:hAnsi="Calibri" w:cs="Calibri"/>
          <w:b/>
          <w:bCs/>
          <w:color w:val="1C1C1C"/>
          <w:sz w:val="22"/>
          <w:szCs w:val="22"/>
        </w:rPr>
        <w:t>Insight 1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— The bank has a high-value, underserved segment in students and retirees. Despite their strong conversion rates, these groups are likely 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>to receive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proportionally less campaign attention than working-age professionals.</w:t>
      </w:r>
    </w:p>
    <w:p w14:paraId="5D1A7248" w14:textId="0C44A914" w:rsidR="00717496" w:rsidRDefault="00000000" w:rsidP="00BA294E">
      <w:pPr>
        <w:spacing w:before="80" w:after="80"/>
        <w:jc w:val="both"/>
      </w:pPr>
      <w:r w:rsidRPr="00BA294E">
        <w:rPr>
          <w:rFonts w:ascii="Calibri" w:eastAsia="Calibri" w:hAnsi="Calibri" w:cs="Calibri"/>
          <w:b/>
          <w:bCs/>
          <w:color w:val="1C1C1C"/>
          <w:sz w:val="22"/>
          <w:szCs w:val="22"/>
        </w:rPr>
        <w:t>Insight 2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— The bank's campaign calendar is misaligned with customer receptiveness. Heavy investment in May — the worst month — while underinvesting in December, March, 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 xml:space="preserve">September </w:t>
      </w:r>
      <w:r>
        <w:rPr>
          <w:rFonts w:ascii="Calibri" w:eastAsia="Calibri" w:hAnsi="Calibri" w:cs="Calibri"/>
          <w:color w:val="1C1C1C"/>
          <w:sz w:val="22"/>
          <w:szCs w:val="22"/>
        </w:rPr>
        <w:t>and October represents a significant efficiency opportunity.</w:t>
      </w:r>
    </w:p>
    <w:p w14:paraId="5A9F1FE7" w14:textId="2D0AF04D" w:rsidR="00717496" w:rsidRDefault="00000000" w:rsidP="00BA294E">
      <w:pPr>
        <w:spacing w:before="80" w:after="80"/>
        <w:jc w:val="both"/>
      </w:pPr>
      <w:r w:rsidRPr="00BA294E">
        <w:rPr>
          <w:rFonts w:ascii="Calibri" w:eastAsia="Calibri" w:hAnsi="Calibri" w:cs="Calibri"/>
          <w:b/>
          <w:bCs/>
          <w:color w:val="1C1C1C"/>
          <w:sz w:val="22"/>
          <w:szCs w:val="22"/>
        </w:rPr>
        <w:t>Insight 3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— Agent 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>behavior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during calls directly impacts outcomes. The 140% difference in call duration between subscribers and non-subscribers is not coincidental — it reflects genuine engagement quality.</w:t>
      </w:r>
    </w:p>
    <w:p w14:paraId="2597C267" w14:textId="115571B0" w:rsidR="00717496" w:rsidRDefault="00000000" w:rsidP="00BA294E">
      <w:pPr>
        <w:spacing w:before="80" w:after="80"/>
        <w:jc w:val="both"/>
      </w:pPr>
      <w:r w:rsidRPr="00BA294E">
        <w:rPr>
          <w:rFonts w:ascii="Calibri" w:eastAsia="Calibri" w:hAnsi="Calibri" w:cs="Calibri"/>
          <w:b/>
          <w:bCs/>
          <w:color w:val="1C1C1C"/>
          <w:sz w:val="22"/>
          <w:szCs w:val="22"/>
        </w:rPr>
        <w:t>Insight 4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— The bank is sitting on a near-guaranteed revenue opportunity: customers with previous successful subscriptions. A 91.3% re-conversion rate means these customers practically sell themselves — yet they may not be systematically 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>prioritized</w:t>
      </w:r>
      <w:r>
        <w:rPr>
          <w:rFonts w:ascii="Calibri" w:eastAsia="Calibri" w:hAnsi="Calibri" w:cs="Calibri"/>
          <w:color w:val="1C1C1C"/>
          <w:sz w:val="22"/>
          <w:szCs w:val="22"/>
        </w:rPr>
        <w:t>.</w:t>
      </w:r>
    </w:p>
    <w:p w14:paraId="4A09A8F5" w14:textId="77777777" w:rsidR="00717496" w:rsidRDefault="00000000" w:rsidP="00BA294E">
      <w:pPr>
        <w:spacing w:before="80" w:after="80"/>
        <w:jc w:val="both"/>
      </w:pPr>
      <w:r w:rsidRPr="00BA294E">
        <w:rPr>
          <w:rFonts w:ascii="Calibri" w:eastAsia="Calibri" w:hAnsi="Calibri" w:cs="Calibri"/>
          <w:b/>
          <w:bCs/>
          <w:color w:val="1C1C1C"/>
          <w:sz w:val="22"/>
          <w:szCs w:val="22"/>
        </w:rPr>
        <w:t>Insight 5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— Data quality is costing the bank conversions. Customers with unknown contact methods convert at only 22.6% — less than half the rate of cellular contacts. Poor CRM data hygiene is directly reducing campaign ROI.</w:t>
      </w:r>
    </w:p>
    <w:p w14:paraId="6FA39A0A" w14:textId="77777777" w:rsidR="00717496" w:rsidRDefault="00000000">
      <w:pPr>
        <w:pBdr>
          <w:bottom w:val="single" w:sz="8" w:space="2" w:color="1A5276"/>
        </w:pBdr>
        <w:spacing w:before="360" w:after="12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7. BUSINESS RECOMMENDATIONS</w:t>
      </w:r>
    </w:p>
    <w:p w14:paraId="72596612" w14:textId="77777777" w:rsidR="00717496" w:rsidRDefault="00000000" w:rsidP="009D6CB0">
      <w:pPr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Recommendation 1 — Create a Priority Re-Engagement List</w:t>
      </w:r>
    </w:p>
    <w:p w14:paraId="6AADA4DE" w14:textId="77777777" w:rsidR="00717496" w:rsidRDefault="00000000" w:rsidP="009D6CB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Build a dedicated segment of customers with previous successful subscriptions and contact them first in every campaign. With a 91.3% conversion rate, this is the highest-ROI activity available to the marketing team.</w:t>
      </w:r>
    </w:p>
    <w:p w14:paraId="229ABAE2" w14:textId="77777777" w:rsidR="00717496" w:rsidRDefault="00000000" w:rsidP="009D6CB0">
      <w:pPr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Recommendation 2 — Realign Campaign Calendar to High-Conversion Months</w:t>
      </w:r>
    </w:p>
    <w:p w14:paraId="25002899" w14:textId="77777777" w:rsidR="00717496" w:rsidRDefault="00000000" w:rsidP="009D6CB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Concentrate campaign budgets in March, September, October, and December. Significantly reduce or suspend campaign activity in May and January. This single change could improve overall conversion rates without increasing budget.</w:t>
      </w:r>
    </w:p>
    <w:p w14:paraId="12224DC7" w14:textId="77777777" w:rsidR="00717496" w:rsidRDefault="00000000" w:rsidP="009D6CB0">
      <w:pPr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Recommendation 3 — Build Dedicated Campaigns for Students and Retirees</w:t>
      </w:r>
    </w:p>
    <w:p w14:paraId="490E76C0" w14:textId="13235E4D" w:rsidR="00717496" w:rsidRDefault="00000000" w:rsidP="009D6CB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Design tailored products and messaging for these two high-converting segments. For students: 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>emphasize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flexibility and low minimums. For retirees: 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>emphasize</w:t>
      </w:r>
      <w:r>
        <w:rPr>
          <w:rFonts w:ascii="Calibri" w:eastAsia="Calibri" w:hAnsi="Calibri" w:cs="Calibri"/>
          <w:color w:val="1C1C1C"/>
          <w:sz w:val="22"/>
          <w:szCs w:val="22"/>
        </w:rPr>
        <w:t xml:space="preserve"> security, stable returns, and simplicity. Allocate dedicated agent time to these groups.</w:t>
      </w:r>
    </w:p>
    <w:p w14:paraId="4AEE8B13" w14:textId="77777777" w:rsidR="00717496" w:rsidRDefault="00000000" w:rsidP="009D6CB0">
      <w:pPr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Recommendation 4 — Invest in Agent Training for Call Engagement</w:t>
      </w:r>
    </w:p>
    <w:p w14:paraId="3C5A4440" w14:textId="77777777" w:rsidR="00717496" w:rsidRDefault="00000000" w:rsidP="009D6CB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Train agents </w:t>
      </w:r>
      <w:proofErr w:type="gramStart"/>
      <w:r>
        <w:rPr>
          <w:rFonts w:ascii="Calibri" w:eastAsia="Calibri" w:hAnsi="Calibri" w:cs="Calibri"/>
          <w:color w:val="1C1C1C"/>
          <w:sz w:val="22"/>
          <w:szCs w:val="22"/>
        </w:rPr>
        <w:t>to extend</w:t>
      </w:r>
      <w:proofErr w:type="gramEnd"/>
      <w:r>
        <w:rPr>
          <w:rFonts w:ascii="Calibri" w:eastAsia="Calibri" w:hAnsi="Calibri" w:cs="Calibri"/>
          <w:color w:val="1C1C1C"/>
          <w:sz w:val="22"/>
          <w:szCs w:val="22"/>
        </w:rPr>
        <w:t xml:space="preserve"> call duration through relationship building, needs discovery, and product education. Set a target engagement time of at least 7–9 minutes for warm prospects. Longer calls convert at dramatically higher rates.</w:t>
      </w:r>
    </w:p>
    <w:p w14:paraId="6DF917C0" w14:textId="77777777" w:rsidR="00717496" w:rsidRDefault="00000000" w:rsidP="009D6CB0">
      <w:pPr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lastRenderedPageBreak/>
        <w:t>Recommendation 5 — Improve CRM Data Quality</w:t>
      </w:r>
    </w:p>
    <w:p w14:paraId="08110C0D" w14:textId="77777777" w:rsidR="00717496" w:rsidRDefault="00000000" w:rsidP="009D6CB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Require valid cellular contact numbers before any customer </w:t>
      </w:r>
      <w:proofErr w:type="gramStart"/>
      <w:r>
        <w:rPr>
          <w:rFonts w:ascii="Calibri" w:eastAsia="Calibri" w:hAnsi="Calibri" w:cs="Calibri"/>
          <w:color w:val="1C1C1C"/>
          <w:sz w:val="22"/>
          <w:szCs w:val="22"/>
        </w:rPr>
        <w:t>is</w:t>
      </w:r>
      <w:proofErr w:type="gramEnd"/>
      <w:r>
        <w:rPr>
          <w:rFonts w:ascii="Calibri" w:eastAsia="Calibri" w:hAnsi="Calibri" w:cs="Calibri"/>
          <w:color w:val="1C1C1C"/>
          <w:sz w:val="22"/>
          <w:szCs w:val="22"/>
        </w:rPr>
        <w:t xml:space="preserve"> added to a campaign list. The 22.6% conversion rate for unknown contacts vs 54.3% for cellular contacts represents a 31-point gap that can be closed through better data collection.</w:t>
      </w:r>
    </w:p>
    <w:p w14:paraId="11080666" w14:textId="51C03D77" w:rsidR="00717496" w:rsidRDefault="00000000" w:rsidP="009D6CB0">
      <w:pPr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Recommendation 6 — De-</w:t>
      </w:r>
      <w:r w:rsidR="00BA294E">
        <w:rPr>
          <w:rFonts w:ascii="Calibri" w:eastAsia="Calibri" w:hAnsi="Calibri" w:cs="Calibri"/>
          <w:b/>
          <w:bCs/>
          <w:color w:val="1A5276"/>
          <w:sz w:val="24"/>
          <w:szCs w:val="24"/>
        </w:rPr>
        <w:t>prioritize</w:t>
      </w: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 xml:space="preserve"> High-Debt Customer Profiles</w:t>
      </w:r>
    </w:p>
    <w:p w14:paraId="7BEA28F4" w14:textId="77777777" w:rsidR="00717496" w:rsidRDefault="00000000" w:rsidP="009D6CB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Filter customers with both housing and personal loans into a lower-priority campaign tier. Reallocate those campaign resources to debt-free customers who convert at 57.0%, improving overall campaign efficiency.</w:t>
      </w:r>
    </w:p>
    <w:p w14:paraId="613217CB" w14:textId="77777777" w:rsidR="00717496" w:rsidRDefault="00000000">
      <w:pPr>
        <w:pBdr>
          <w:bottom w:val="single" w:sz="8" w:space="2" w:color="1A5276"/>
        </w:pBdr>
        <w:spacing w:before="360" w:after="12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8. CONCLUSION</w:t>
      </w:r>
    </w:p>
    <w:p w14:paraId="59C7AA06" w14:textId="243BEFCC" w:rsidR="00717496" w:rsidRDefault="00000000" w:rsidP="009D6CB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 xml:space="preserve">This analysis of 11,162 bank marketing campaign records has revealed clear, actionable patterns in customer subscription </w:t>
      </w:r>
      <w:r w:rsidR="00BA294E">
        <w:rPr>
          <w:rFonts w:ascii="Calibri" w:eastAsia="Calibri" w:hAnsi="Calibri" w:cs="Calibri"/>
          <w:color w:val="1C1C1C"/>
          <w:sz w:val="22"/>
          <w:szCs w:val="22"/>
        </w:rPr>
        <w:t>behavior</w:t>
      </w:r>
      <w:r>
        <w:rPr>
          <w:rFonts w:ascii="Calibri" w:eastAsia="Calibri" w:hAnsi="Calibri" w:cs="Calibri"/>
          <w:color w:val="1C1C1C"/>
          <w:sz w:val="22"/>
          <w:szCs w:val="22"/>
        </w:rPr>
        <w:t>. The bank has a 47.4% overall conversion rate with significant opportunity to improve through smarter targeting, better campaign timing, agent training, and CRM data hygiene.</w:t>
      </w:r>
    </w:p>
    <w:p w14:paraId="5BD29BDE" w14:textId="77777777" w:rsidR="00717496" w:rsidRDefault="00000000" w:rsidP="009D6CB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The most important finding is that the bank already has its best customers identified — those who subscribed previously — and a systematic re-engagement strategy for this group alone could dramatically improve campaign ROI. Combined with a shift in campaign timing toward high-conversion months and a focus on student and retired segments, the bank can achieve materially better results without increasing its overall campaign budget.</w:t>
      </w:r>
    </w:p>
    <w:p w14:paraId="39B27EDF" w14:textId="77777777" w:rsidR="00717496" w:rsidRDefault="00000000" w:rsidP="009D6CB0">
      <w:pPr>
        <w:spacing w:before="80" w:after="80"/>
        <w:jc w:val="both"/>
      </w:pPr>
      <w:r>
        <w:rPr>
          <w:rFonts w:ascii="Calibri" w:eastAsia="Calibri" w:hAnsi="Calibri" w:cs="Calibri"/>
          <w:color w:val="1C1C1C"/>
          <w:sz w:val="22"/>
          <w:szCs w:val="22"/>
        </w:rPr>
        <w:t>Data analytics has demonstrated in this case study that the difference between an effective and ineffective marketing campaign is not effort — it is intelligence. Knowing who to call, when to call, and how to engage them is the foundation of every high-performing campaign.</w:t>
      </w:r>
    </w:p>
    <w:p w14:paraId="0FBA0815" w14:textId="77777777" w:rsidR="00717496" w:rsidRDefault="00000000">
      <w:pPr>
        <w:spacing w:before="2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Prepared by: Abioye Stephen </w:t>
      </w: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Ayodeji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AnalystLab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Africa </w:t>
      </w: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Internship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July 2026</w:t>
      </w:r>
    </w:p>
    <w:sectPr w:rsidR="007174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6152"/>
    <w:multiLevelType w:val="hybridMultilevel"/>
    <w:tmpl w:val="953A6810"/>
    <w:lvl w:ilvl="0" w:tplc="9EB8928E">
      <w:start w:val="1"/>
      <w:numFmt w:val="bullet"/>
      <w:lvlText w:val="●"/>
      <w:lvlJc w:val="left"/>
      <w:pPr>
        <w:ind w:left="720" w:hanging="360"/>
      </w:pPr>
    </w:lvl>
    <w:lvl w:ilvl="1" w:tplc="C576E1F8">
      <w:start w:val="1"/>
      <w:numFmt w:val="bullet"/>
      <w:lvlText w:val="○"/>
      <w:lvlJc w:val="left"/>
      <w:pPr>
        <w:ind w:left="1440" w:hanging="360"/>
      </w:pPr>
    </w:lvl>
    <w:lvl w:ilvl="2" w:tplc="8F5E9FEC">
      <w:start w:val="1"/>
      <w:numFmt w:val="bullet"/>
      <w:lvlText w:val="■"/>
      <w:lvlJc w:val="left"/>
      <w:pPr>
        <w:ind w:left="2160" w:hanging="360"/>
      </w:pPr>
    </w:lvl>
    <w:lvl w:ilvl="3" w:tplc="B62E85AC">
      <w:start w:val="1"/>
      <w:numFmt w:val="bullet"/>
      <w:lvlText w:val="●"/>
      <w:lvlJc w:val="left"/>
      <w:pPr>
        <w:ind w:left="2880" w:hanging="360"/>
      </w:pPr>
    </w:lvl>
    <w:lvl w:ilvl="4" w:tplc="BDBC7E52">
      <w:start w:val="1"/>
      <w:numFmt w:val="bullet"/>
      <w:lvlText w:val="○"/>
      <w:lvlJc w:val="left"/>
      <w:pPr>
        <w:ind w:left="3600" w:hanging="360"/>
      </w:pPr>
    </w:lvl>
    <w:lvl w:ilvl="5" w:tplc="7EA4FE88">
      <w:start w:val="1"/>
      <w:numFmt w:val="bullet"/>
      <w:lvlText w:val="■"/>
      <w:lvlJc w:val="left"/>
      <w:pPr>
        <w:ind w:left="4320" w:hanging="360"/>
      </w:pPr>
    </w:lvl>
    <w:lvl w:ilvl="6" w:tplc="5956B5AA">
      <w:start w:val="1"/>
      <w:numFmt w:val="bullet"/>
      <w:lvlText w:val="●"/>
      <w:lvlJc w:val="left"/>
      <w:pPr>
        <w:ind w:left="5040" w:hanging="360"/>
      </w:pPr>
    </w:lvl>
    <w:lvl w:ilvl="7" w:tplc="B2A63522">
      <w:start w:val="1"/>
      <w:numFmt w:val="bullet"/>
      <w:lvlText w:val="●"/>
      <w:lvlJc w:val="left"/>
      <w:pPr>
        <w:ind w:left="5760" w:hanging="360"/>
      </w:pPr>
    </w:lvl>
    <w:lvl w:ilvl="8" w:tplc="DC94C5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E57D09"/>
    <w:multiLevelType w:val="hybridMultilevel"/>
    <w:tmpl w:val="31808C2A"/>
    <w:lvl w:ilvl="0" w:tplc="996EBBF4">
      <w:start w:val="1"/>
      <w:numFmt w:val="bullet"/>
      <w:lvlText w:val="•"/>
      <w:lvlJc w:val="left"/>
      <w:pPr>
        <w:ind w:left="480" w:hanging="240"/>
      </w:pPr>
    </w:lvl>
    <w:lvl w:ilvl="1" w:tplc="23781316">
      <w:numFmt w:val="decimal"/>
      <w:lvlText w:val=""/>
      <w:lvlJc w:val="left"/>
    </w:lvl>
    <w:lvl w:ilvl="2" w:tplc="8A14AD4C">
      <w:numFmt w:val="decimal"/>
      <w:lvlText w:val=""/>
      <w:lvlJc w:val="left"/>
    </w:lvl>
    <w:lvl w:ilvl="3" w:tplc="F17A94A2">
      <w:numFmt w:val="decimal"/>
      <w:lvlText w:val=""/>
      <w:lvlJc w:val="left"/>
    </w:lvl>
    <w:lvl w:ilvl="4" w:tplc="AC70F0E2">
      <w:numFmt w:val="decimal"/>
      <w:lvlText w:val=""/>
      <w:lvlJc w:val="left"/>
    </w:lvl>
    <w:lvl w:ilvl="5" w:tplc="A13AD73E">
      <w:numFmt w:val="decimal"/>
      <w:lvlText w:val=""/>
      <w:lvlJc w:val="left"/>
    </w:lvl>
    <w:lvl w:ilvl="6" w:tplc="DCB25240">
      <w:numFmt w:val="decimal"/>
      <w:lvlText w:val=""/>
      <w:lvlJc w:val="left"/>
    </w:lvl>
    <w:lvl w:ilvl="7" w:tplc="F48E95EE">
      <w:numFmt w:val="decimal"/>
      <w:lvlText w:val=""/>
      <w:lvlJc w:val="left"/>
    </w:lvl>
    <w:lvl w:ilvl="8" w:tplc="4498E2E4">
      <w:numFmt w:val="decimal"/>
      <w:lvlText w:val=""/>
      <w:lvlJc w:val="left"/>
    </w:lvl>
  </w:abstractNum>
  <w:num w:numId="1" w16cid:durableId="202790175">
    <w:abstractNumId w:val="0"/>
    <w:lvlOverride w:ilvl="0">
      <w:startOverride w:val="1"/>
    </w:lvlOverride>
  </w:num>
  <w:num w:numId="2" w16cid:durableId="1903514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496"/>
    <w:rsid w:val="00717496"/>
    <w:rsid w:val="00730550"/>
    <w:rsid w:val="009D6CB0"/>
    <w:rsid w:val="00BA294E"/>
    <w:rsid w:val="00FD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5C019"/>
  <w15:docId w15:val="{7FA32110-7CB0-4D49-A7AB-64235092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3537</TotalTime>
  <Pages>5</Pages>
  <Words>1289</Words>
  <Characters>9145</Characters>
  <Application>Microsoft Office Word</Application>
  <DocSecurity>0</DocSecurity>
  <Lines>155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Stephen Abioye</cp:lastModifiedBy>
  <cp:revision>2</cp:revision>
  <dcterms:created xsi:type="dcterms:W3CDTF">2026-07-03T21:28:00Z</dcterms:created>
  <dcterms:modified xsi:type="dcterms:W3CDTF">2026-07-08T10:09:00Z</dcterms:modified>
</cp:coreProperties>
</file>