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EE671" w14:textId="77777777" w:rsidR="003562FC" w:rsidRPr="0009119E" w:rsidRDefault="00000000" w:rsidP="003562FC">
      <w:r w:rsidRPr="00E93187">
        <w:rPr>
          <w:noProof/>
        </w:rPr>
        <w:drawing>
          <wp:anchor distT="0" distB="0" distL="114300" distR="114300" simplePos="0" relativeHeight="251658240" behindDoc="0" locked="0" layoutInCell="1" allowOverlap="1" wp14:anchorId="4D834EEC" wp14:editId="41779717">
            <wp:simplePos x="0" y="0"/>
            <wp:positionH relativeFrom="column">
              <wp:posOffset>-63500</wp:posOffset>
            </wp:positionH>
            <wp:positionV relativeFrom="paragraph">
              <wp:posOffset>-20237</wp:posOffset>
            </wp:positionV>
            <wp:extent cx="1248786" cy="567631"/>
            <wp:effectExtent l="0" t="0" r="0" b="0"/>
            <wp:wrapNone/>
            <wp:docPr id="1616887066" name="Picture 1616887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887066" name="Picture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48786" cy="567631"/>
                    </a:xfrm>
                    <a:prstGeom prst="rect">
                      <a:avLst/>
                    </a:prstGeom>
                  </pic:spPr>
                </pic:pic>
              </a:graphicData>
            </a:graphic>
            <wp14:sizeRelH relativeFrom="margin">
              <wp14:pctWidth>0</wp14:pctWidth>
            </wp14:sizeRelH>
            <wp14:sizeRelV relativeFrom="margin">
              <wp14:pctHeight>0</wp14:pctHeight>
            </wp14:sizeRelV>
          </wp:anchor>
        </w:drawing>
      </w:r>
    </w:p>
    <w:p w14:paraId="1DBB4B95" w14:textId="77777777" w:rsidR="003562FC" w:rsidRDefault="003562FC" w:rsidP="003562FC">
      <w:pPr>
        <w:ind w:left="2880" w:hanging="2880"/>
        <w:rPr>
          <w:b/>
          <w:bCs/>
        </w:rPr>
      </w:pPr>
    </w:p>
    <w:p w14:paraId="354F4508" w14:textId="77777777" w:rsidR="003562FC" w:rsidRDefault="003562FC" w:rsidP="003562FC">
      <w:pPr>
        <w:ind w:left="2880" w:hanging="2880"/>
        <w:rPr>
          <w:b/>
          <w:bCs/>
        </w:rPr>
      </w:pPr>
    </w:p>
    <w:p w14:paraId="3D181CB2" w14:textId="77777777" w:rsidR="003562FC" w:rsidRDefault="003562FC" w:rsidP="003562FC">
      <w:pPr>
        <w:ind w:left="2880" w:hanging="2880"/>
        <w:rPr>
          <w:b/>
          <w:bCs/>
        </w:rPr>
      </w:pPr>
    </w:p>
    <w:p w14:paraId="6111BBDE" w14:textId="77777777" w:rsidR="003562FC" w:rsidRDefault="003562FC" w:rsidP="003562FC">
      <w:pPr>
        <w:ind w:left="2880" w:hanging="2880"/>
        <w:rPr>
          <w:b/>
          <w:bCs/>
        </w:rPr>
      </w:pPr>
    </w:p>
    <w:p w14:paraId="00612060" w14:textId="77777777" w:rsidR="003562FC" w:rsidRPr="0009119E" w:rsidRDefault="00000000" w:rsidP="003562FC">
      <w:pPr>
        <w:ind w:left="2880" w:hanging="2880"/>
      </w:pPr>
      <w:r w:rsidRPr="0009119E">
        <w:rPr>
          <w:b/>
          <w:bCs/>
        </w:rPr>
        <w:t>Protocol Title:</w:t>
      </w:r>
      <w:r w:rsidRPr="0009119E">
        <w:tab/>
        <w:t>Digi-Moms: A Wearables and AI Framework for Early Detection of Cardiometabolic Complications in Pregnancy</w:t>
      </w:r>
    </w:p>
    <w:p w14:paraId="2923A57E" w14:textId="77777777" w:rsidR="003562FC" w:rsidRPr="0009119E" w:rsidRDefault="003562FC" w:rsidP="003562FC">
      <w:pPr>
        <w:rPr>
          <w:b/>
        </w:rPr>
      </w:pPr>
    </w:p>
    <w:p w14:paraId="5790A977" w14:textId="77777777" w:rsidR="003562FC" w:rsidRPr="0009119E" w:rsidRDefault="00000000" w:rsidP="003562FC">
      <w:pPr>
        <w:rPr>
          <w:b/>
          <w:bCs/>
        </w:rPr>
      </w:pPr>
      <w:r w:rsidRPr="0009119E">
        <w:rPr>
          <w:b/>
          <w:bCs/>
        </w:rPr>
        <w:t xml:space="preserve">Protocol Version Date: </w:t>
      </w:r>
      <w:r w:rsidRPr="0009119E">
        <w:tab/>
      </w:r>
      <w:r>
        <w:t xml:space="preserve"> </w:t>
      </w:r>
      <w:r w:rsidR="009A00A2">
        <w:t xml:space="preserve">May </w:t>
      </w:r>
      <w:r>
        <w:t>1</w:t>
      </w:r>
      <w:r w:rsidRPr="0009119E">
        <w:t>, 202</w:t>
      </w:r>
      <w:r w:rsidR="009A00A2">
        <w:t>6</w:t>
      </w:r>
      <w:r w:rsidR="004B3A1E">
        <w:t xml:space="preserve"> </w:t>
      </w:r>
      <w:r>
        <w:t xml:space="preserve"> </w:t>
      </w:r>
    </w:p>
    <w:p w14:paraId="63C22886" w14:textId="77777777" w:rsidR="003562FC" w:rsidRPr="0009119E" w:rsidRDefault="003562FC" w:rsidP="003562FC">
      <w:pPr>
        <w:rPr>
          <w:b/>
        </w:rPr>
      </w:pPr>
    </w:p>
    <w:p w14:paraId="2A9984E8" w14:textId="77777777" w:rsidR="003562FC" w:rsidRPr="0009119E" w:rsidRDefault="00000000" w:rsidP="003562FC">
      <w:pPr>
        <w:rPr>
          <w:b/>
        </w:rPr>
      </w:pPr>
      <w:r w:rsidRPr="0009119E">
        <w:rPr>
          <w:b/>
        </w:rPr>
        <w:t xml:space="preserve">IRB Study Number: </w:t>
      </w:r>
      <w:r w:rsidRPr="0009119E">
        <w:rPr>
          <w:bCs/>
        </w:rPr>
        <w:tab/>
      </w:r>
      <w:r w:rsidRPr="0009119E">
        <w:rPr>
          <w:bCs/>
        </w:rPr>
        <w:tab/>
        <w:t>s24-00685</w:t>
      </w:r>
    </w:p>
    <w:p w14:paraId="5E8C8528" w14:textId="77777777" w:rsidR="003562FC" w:rsidRPr="0009119E" w:rsidRDefault="003562FC" w:rsidP="003562FC">
      <w:pPr>
        <w:rPr>
          <w:b/>
        </w:rPr>
      </w:pPr>
    </w:p>
    <w:p w14:paraId="4FDD374E" w14:textId="77777777" w:rsidR="003562FC" w:rsidRPr="0009119E" w:rsidRDefault="00000000" w:rsidP="003562FC">
      <w:pPr>
        <w:rPr>
          <w:bCs/>
        </w:rPr>
      </w:pPr>
      <w:r w:rsidRPr="0009119E">
        <w:rPr>
          <w:b/>
        </w:rPr>
        <w:t xml:space="preserve">Principal Investigator: </w:t>
      </w:r>
      <w:r w:rsidRPr="0009119E">
        <w:rPr>
          <w:bCs/>
        </w:rPr>
        <w:tab/>
        <w:t>Souptik Barua, PhD</w:t>
      </w:r>
    </w:p>
    <w:p w14:paraId="749F9B20" w14:textId="77777777" w:rsidR="003562FC" w:rsidRPr="0009119E" w:rsidRDefault="003562FC" w:rsidP="003562FC">
      <w:pPr>
        <w:rPr>
          <w:b/>
        </w:rPr>
      </w:pPr>
    </w:p>
    <w:p w14:paraId="2A0F1B21" w14:textId="77777777" w:rsidR="003562FC" w:rsidRPr="0009119E" w:rsidRDefault="00000000" w:rsidP="003562FC">
      <w:pPr>
        <w:rPr>
          <w:b/>
        </w:rPr>
      </w:pPr>
      <w:r w:rsidRPr="0009119E">
        <w:rPr>
          <w:b/>
        </w:rPr>
        <w:t>Institution/Organization:</w:t>
      </w:r>
      <w:r w:rsidRPr="0009119E">
        <w:rPr>
          <w:bCs/>
        </w:rPr>
        <w:tab/>
        <w:t>Division of Precision Medicine, Department of Medicine</w:t>
      </w:r>
    </w:p>
    <w:p w14:paraId="2090883F" w14:textId="77777777" w:rsidR="003562FC" w:rsidRPr="0009119E" w:rsidRDefault="00000000" w:rsidP="003562FC">
      <w:pPr>
        <w:ind w:left="2124" w:firstLine="708"/>
        <w:rPr>
          <w:bCs/>
        </w:rPr>
      </w:pPr>
      <w:r w:rsidRPr="0009119E">
        <w:rPr>
          <w:bCs/>
        </w:rPr>
        <w:t>NYU Langone Health</w:t>
      </w:r>
    </w:p>
    <w:p w14:paraId="63C7A8C2" w14:textId="77777777" w:rsidR="003562FC" w:rsidRPr="0009119E" w:rsidRDefault="00000000" w:rsidP="003562FC">
      <w:pPr>
        <w:rPr>
          <w:bCs/>
        </w:rPr>
      </w:pPr>
      <w:r w:rsidRPr="0009119E">
        <w:rPr>
          <w:bCs/>
        </w:rPr>
        <w:tab/>
      </w:r>
      <w:r w:rsidRPr="0009119E">
        <w:rPr>
          <w:bCs/>
        </w:rPr>
        <w:tab/>
      </w:r>
      <w:r w:rsidRPr="0009119E">
        <w:rPr>
          <w:bCs/>
        </w:rPr>
        <w:tab/>
      </w:r>
      <w:r w:rsidRPr="0009119E">
        <w:rPr>
          <w:bCs/>
        </w:rPr>
        <w:tab/>
        <w:t>227 East 30th Street, 8th Floor</w:t>
      </w:r>
    </w:p>
    <w:p w14:paraId="7DA20C70" w14:textId="77777777" w:rsidR="003562FC" w:rsidRPr="0009119E" w:rsidRDefault="00000000" w:rsidP="003562FC">
      <w:pPr>
        <w:rPr>
          <w:bCs/>
        </w:rPr>
      </w:pPr>
      <w:r w:rsidRPr="0009119E">
        <w:rPr>
          <w:bCs/>
        </w:rPr>
        <w:tab/>
      </w:r>
      <w:r w:rsidRPr="0009119E">
        <w:rPr>
          <w:bCs/>
        </w:rPr>
        <w:tab/>
      </w:r>
      <w:r w:rsidRPr="0009119E">
        <w:rPr>
          <w:bCs/>
        </w:rPr>
        <w:tab/>
      </w:r>
      <w:r w:rsidRPr="0009119E">
        <w:rPr>
          <w:bCs/>
        </w:rPr>
        <w:tab/>
        <w:t>New York, NY 10016</w:t>
      </w:r>
    </w:p>
    <w:p w14:paraId="4CC42F74" w14:textId="77777777" w:rsidR="003562FC" w:rsidRPr="0009119E" w:rsidRDefault="00000000" w:rsidP="003562FC">
      <w:pPr>
        <w:rPr>
          <w:bCs/>
        </w:rPr>
      </w:pPr>
      <w:r w:rsidRPr="0009119E">
        <w:rPr>
          <w:bCs/>
        </w:rPr>
        <w:tab/>
      </w:r>
      <w:r w:rsidRPr="0009119E">
        <w:rPr>
          <w:bCs/>
        </w:rPr>
        <w:tab/>
      </w:r>
      <w:r w:rsidRPr="0009119E">
        <w:rPr>
          <w:bCs/>
        </w:rPr>
        <w:tab/>
      </w:r>
      <w:r w:rsidRPr="0009119E">
        <w:rPr>
          <w:bCs/>
        </w:rPr>
        <w:tab/>
        <w:t>Email:</w:t>
      </w:r>
      <w:r w:rsidRPr="0009119E">
        <w:rPr>
          <w:bCs/>
        </w:rPr>
        <w:tab/>
        <w:t xml:space="preserve">Souptik.Barua@nyulangone.org </w:t>
      </w:r>
    </w:p>
    <w:p w14:paraId="1D5D5E44" w14:textId="77777777" w:rsidR="003562FC" w:rsidRPr="0009119E" w:rsidRDefault="003562FC" w:rsidP="003562FC">
      <w:pPr>
        <w:rPr>
          <w:bCs/>
        </w:rPr>
      </w:pPr>
    </w:p>
    <w:p w14:paraId="21F62A7A" w14:textId="77777777" w:rsidR="003562FC" w:rsidRPr="0009119E" w:rsidRDefault="00000000" w:rsidP="003562FC">
      <w:pPr>
        <w:rPr>
          <w:bCs/>
        </w:rPr>
      </w:pPr>
      <w:r w:rsidRPr="0009119E">
        <w:rPr>
          <w:b/>
        </w:rPr>
        <w:t xml:space="preserve">Funding: </w:t>
      </w:r>
      <w:r w:rsidRPr="0009119E">
        <w:rPr>
          <w:b/>
        </w:rPr>
        <w:tab/>
      </w:r>
      <w:r w:rsidRPr="0009119E">
        <w:rPr>
          <w:b/>
        </w:rPr>
        <w:tab/>
      </w:r>
      <w:r w:rsidRPr="0009119E">
        <w:rPr>
          <w:b/>
        </w:rPr>
        <w:tab/>
      </w:r>
      <w:r w:rsidRPr="0009119E">
        <w:rPr>
          <w:bCs/>
        </w:rPr>
        <w:t>American Heart Association, 7272 Greenville Avenue, Dallas, TX 75231</w:t>
      </w:r>
    </w:p>
    <w:p w14:paraId="7BC840A4" w14:textId="77777777" w:rsidR="003562FC" w:rsidRPr="0009119E" w:rsidRDefault="003562FC" w:rsidP="003562FC"/>
    <w:p w14:paraId="4C64C7DE" w14:textId="77777777" w:rsidR="003562FC" w:rsidRPr="0009119E" w:rsidRDefault="003562FC" w:rsidP="003562FC"/>
    <w:p w14:paraId="515465E4" w14:textId="77777777" w:rsidR="003562FC" w:rsidRDefault="00000000" w:rsidP="003562FC">
      <w:pPr>
        <w:pStyle w:val="Heading1"/>
        <w:spacing w:after="0"/>
        <w:rPr>
          <w:rFonts w:cs="Arial"/>
          <w:sz w:val="20"/>
          <w:szCs w:val="20"/>
        </w:rPr>
      </w:pPr>
      <w:bookmarkStart w:id="0" w:name="_Toc1"/>
      <w:bookmarkStart w:id="1" w:name="_Toc2"/>
      <w:bookmarkEnd w:id="0"/>
      <w:r w:rsidRPr="0009119E">
        <w:rPr>
          <w:rFonts w:cs="Arial"/>
          <w:sz w:val="20"/>
          <w:szCs w:val="20"/>
        </w:rPr>
        <w:t>SYNOPSIS</w:t>
      </w:r>
      <w:bookmarkEnd w:id="1"/>
    </w:p>
    <w:p w14:paraId="2DD5B84B" w14:textId="77777777" w:rsidR="003562FC" w:rsidRPr="00BD108A" w:rsidRDefault="003562FC" w:rsidP="003562FC"/>
    <w:tbl>
      <w:tblPr>
        <w:tblW w:w="0" w:type="auto"/>
        <w:tblInd w:w="-9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80" w:type="dxa"/>
          <w:right w:w="80" w:type="dxa"/>
        </w:tblCellMar>
        <w:tblLook w:val="0000" w:firstRow="0" w:lastRow="0" w:firstColumn="0" w:lastColumn="0" w:noHBand="0" w:noVBand="0"/>
      </w:tblPr>
      <w:tblGrid>
        <w:gridCol w:w="9990"/>
      </w:tblGrid>
      <w:tr w:rsidR="0084152C" w14:paraId="64A75709" w14:textId="77777777" w:rsidTr="003562FC">
        <w:tc>
          <w:tcPr>
            <w:tcW w:w="9990" w:type="dxa"/>
          </w:tcPr>
          <w:p w14:paraId="7B0BCE43" w14:textId="77777777" w:rsidR="003562FC" w:rsidRPr="0009119E" w:rsidRDefault="00000000" w:rsidP="003562FC">
            <w:pPr>
              <w:pStyle w:val="SpacingSmallAlignleft"/>
              <w:spacing w:before="0" w:after="0"/>
            </w:pPr>
            <w:r w:rsidRPr="0009119E">
              <w:rPr>
                <w:rStyle w:val="h2Cover"/>
                <w:sz w:val="20"/>
                <w:szCs w:val="20"/>
              </w:rPr>
              <w:t>Study Purpose</w:t>
            </w:r>
          </w:p>
          <w:p w14:paraId="0EF4E950" w14:textId="77777777" w:rsidR="003562FC" w:rsidRPr="0009119E" w:rsidRDefault="00000000" w:rsidP="003562FC">
            <w:r w:rsidRPr="0009119E">
              <w:t>The purpose of this observational study is to assess feasibility of using two wearable devices- (1) a continuous glucose monitor (CGM) and (2) an actigraphy monitor, in pregnant participants at multiple timepoints during pregnancy.</w:t>
            </w:r>
          </w:p>
        </w:tc>
      </w:tr>
      <w:tr w:rsidR="0084152C" w14:paraId="42F9FB5A" w14:textId="77777777" w:rsidTr="003562FC">
        <w:tc>
          <w:tcPr>
            <w:tcW w:w="9990" w:type="dxa"/>
          </w:tcPr>
          <w:p w14:paraId="02C2DE39" w14:textId="77777777" w:rsidR="003562FC" w:rsidRPr="0009119E" w:rsidRDefault="00000000" w:rsidP="003562FC">
            <w:pPr>
              <w:pStyle w:val="SpacingSmallAlignleft"/>
              <w:spacing w:before="0" w:after="0"/>
            </w:pPr>
            <w:r w:rsidRPr="0009119E">
              <w:rPr>
                <w:rStyle w:val="h2Cover"/>
                <w:sz w:val="20"/>
                <w:szCs w:val="20"/>
              </w:rPr>
              <w:t>Primary Objective</w:t>
            </w:r>
          </w:p>
          <w:p w14:paraId="08D3DE0B" w14:textId="77777777" w:rsidR="003562FC" w:rsidRPr="0009119E" w:rsidRDefault="00000000" w:rsidP="003562FC">
            <w:r w:rsidRPr="0009119E">
              <w:t>The primary objective of this study is to compute feasibility of multi-timepoint multi-wearable use in pregnancy. Validated feasibility metrics will be used to assess adherence to and acceptability of wearable use during pregnancy.</w:t>
            </w:r>
          </w:p>
        </w:tc>
      </w:tr>
      <w:tr w:rsidR="0084152C" w14:paraId="2CA2A10F" w14:textId="77777777" w:rsidTr="003562FC">
        <w:tc>
          <w:tcPr>
            <w:tcW w:w="9990" w:type="dxa"/>
          </w:tcPr>
          <w:p w14:paraId="0B2C94BD" w14:textId="77777777" w:rsidR="003562FC" w:rsidRPr="0009119E" w:rsidRDefault="00000000" w:rsidP="003562FC">
            <w:pPr>
              <w:pStyle w:val="SpacingSmallAlignleft"/>
              <w:spacing w:before="0" w:after="0"/>
            </w:pPr>
            <w:r w:rsidRPr="0009119E">
              <w:rPr>
                <w:rStyle w:val="h2Cover"/>
                <w:sz w:val="20"/>
                <w:szCs w:val="20"/>
              </w:rPr>
              <w:t>Secondary Objectives</w:t>
            </w:r>
          </w:p>
          <w:p w14:paraId="4852D42D" w14:textId="77777777" w:rsidR="003562FC" w:rsidRPr="0009119E" w:rsidRDefault="00000000" w:rsidP="003562FC">
            <w:r w:rsidRPr="0009119E">
              <w:t>The secondary objective is to compute measures of glycemic variability from CGM, measures of physical activity, sleep, and blood pressure (BP) from the actigraphy monitor.</w:t>
            </w:r>
          </w:p>
        </w:tc>
      </w:tr>
      <w:tr w:rsidR="0084152C" w14:paraId="115025DF" w14:textId="77777777" w:rsidTr="003562FC">
        <w:tc>
          <w:tcPr>
            <w:tcW w:w="9990" w:type="dxa"/>
          </w:tcPr>
          <w:p w14:paraId="760986B3" w14:textId="77777777" w:rsidR="003562FC" w:rsidRPr="0009119E" w:rsidRDefault="00000000" w:rsidP="003562FC">
            <w:pPr>
              <w:pStyle w:val="SpacingSmallAlignleft"/>
              <w:spacing w:before="0" w:after="0"/>
            </w:pPr>
            <w:r w:rsidRPr="0009119E">
              <w:rPr>
                <w:rStyle w:val="h2Cover"/>
                <w:sz w:val="20"/>
                <w:szCs w:val="20"/>
              </w:rPr>
              <w:t>Study Design</w:t>
            </w:r>
          </w:p>
          <w:p w14:paraId="66818174" w14:textId="77777777" w:rsidR="003562FC" w:rsidRPr="0009119E" w:rsidRDefault="00000000" w:rsidP="003562FC">
            <w:r w:rsidRPr="0009119E">
              <w:t>The proposed study is a prospective cohort study of 4</w:t>
            </w:r>
            <w:r>
              <w:t>3</w:t>
            </w:r>
            <w:r w:rsidRPr="0009119E">
              <w:t xml:space="preserve"> pregnant individuals aged 18 and older. Participants will be asked to wear an Abbott Freestyle Libre Pro CGM on the arm and a research-grade </w:t>
            </w:r>
            <w:r w:rsidR="009A00A2">
              <w:t>Ametris</w:t>
            </w:r>
            <w:r w:rsidR="009A00A2" w:rsidRPr="0009119E">
              <w:t xml:space="preserve"> </w:t>
            </w:r>
            <w:r w:rsidRPr="0009119E">
              <w:t>LEAP wearable monitor on the wrist/upper arm for fourteen days following five routine clinic visits (12, 16, 20, 24, and 28 weeks gestation) during pregnancy.</w:t>
            </w:r>
          </w:p>
        </w:tc>
      </w:tr>
      <w:tr w:rsidR="0084152C" w14:paraId="5268B361" w14:textId="77777777" w:rsidTr="003562FC">
        <w:tc>
          <w:tcPr>
            <w:tcW w:w="9990" w:type="dxa"/>
          </w:tcPr>
          <w:p w14:paraId="4AC9909C" w14:textId="77777777" w:rsidR="003562FC" w:rsidRPr="0009119E" w:rsidRDefault="00000000" w:rsidP="003562FC">
            <w:pPr>
              <w:pStyle w:val="SpacingSmallAlignleft"/>
              <w:spacing w:before="0" w:after="0"/>
            </w:pPr>
            <w:r w:rsidRPr="0009119E">
              <w:rPr>
                <w:rStyle w:val="h2Cover"/>
                <w:sz w:val="20"/>
                <w:szCs w:val="20"/>
              </w:rPr>
              <w:t>Study Date Range and Duration</w:t>
            </w:r>
          </w:p>
          <w:p w14:paraId="31BD9E25" w14:textId="77777777" w:rsidR="003562FC" w:rsidRPr="0009119E" w:rsidRDefault="00000000" w:rsidP="003562FC">
            <w:r w:rsidRPr="0009119E">
              <w:t xml:space="preserve">Date range June 2024 — April 2027. Each participant will be asked to wear the CGM and LEAP devices for fourteen days following clinic visits. </w:t>
            </w:r>
          </w:p>
        </w:tc>
      </w:tr>
      <w:tr w:rsidR="0084152C" w14:paraId="21498353" w14:textId="77777777" w:rsidTr="003562FC">
        <w:tc>
          <w:tcPr>
            <w:tcW w:w="9990" w:type="dxa"/>
          </w:tcPr>
          <w:p w14:paraId="15B66416" w14:textId="77777777" w:rsidR="003562FC" w:rsidRPr="0009119E" w:rsidRDefault="00000000" w:rsidP="003562FC">
            <w:pPr>
              <w:pStyle w:val="SpacingSmallAlignleft"/>
              <w:spacing w:before="0" w:after="0"/>
            </w:pPr>
            <w:r w:rsidRPr="0009119E">
              <w:rPr>
                <w:rStyle w:val="h2Cover"/>
                <w:sz w:val="20"/>
                <w:szCs w:val="20"/>
              </w:rPr>
              <w:t>Number of Study Sites</w:t>
            </w:r>
          </w:p>
          <w:p w14:paraId="112A5D49" w14:textId="77777777" w:rsidR="003562FC" w:rsidRPr="0009119E" w:rsidRDefault="00000000" w:rsidP="003562FC">
            <w:r w:rsidRPr="0009119E">
              <w:t>NYU Langone Obstetrics &amp; Gynecology Associates (159 East 53rd street) will be the only site</w:t>
            </w:r>
          </w:p>
        </w:tc>
      </w:tr>
      <w:tr w:rsidR="0084152C" w14:paraId="20CAEB3D" w14:textId="77777777" w:rsidTr="003562FC">
        <w:tc>
          <w:tcPr>
            <w:tcW w:w="9990" w:type="dxa"/>
          </w:tcPr>
          <w:p w14:paraId="1C3FDDC6" w14:textId="77777777" w:rsidR="003562FC" w:rsidRPr="0009119E" w:rsidRDefault="00000000" w:rsidP="003562FC">
            <w:pPr>
              <w:pStyle w:val="SpacingSmallAlignleft"/>
              <w:spacing w:before="0" w:after="0"/>
            </w:pPr>
            <w:r w:rsidRPr="0009119E">
              <w:rPr>
                <w:rStyle w:val="h2Cover"/>
                <w:sz w:val="20"/>
                <w:szCs w:val="20"/>
              </w:rPr>
              <w:t>Primary Outcome Variables</w:t>
            </w:r>
          </w:p>
          <w:p w14:paraId="592BA781" w14:textId="77777777" w:rsidR="003562FC" w:rsidRPr="0009119E" w:rsidRDefault="00000000" w:rsidP="003562FC">
            <w:r w:rsidRPr="0009119E">
              <w:t>The primary outcome is feasibility of multi-timepoint multi-wearable use in pregnancy. The following validated feasibility metrics will be computed after each measurement visit:</w:t>
            </w:r>
          </w:p>
          <w:p w14:paraId="7AC5F100" w14:textId="77777777" w:rsidR="003562FC" w:rsidRPr="0009119E" w:rsidRDefault="00000000" w:rsidP="003562FC">
            <w:r w:rsidRPr="0009119E">
              <w:t>1. Number of days CGM worn</w:t>
            </w:r>
          </w:p>
          <w:p w14:paraId="16BB97D8" w14:textId="77777777" w:rsidR="003562FC" w:rsidRPr="0009119E" w:rsidRDefault="00000000" w:rsidP="003562FC">
            <w:r w:rsidRPr="0009119E">
              <w:t>2. Number of days actigraphy monitor worn. In addition, we will compute feasibility metrics separately for physical activity, sleep, and BP data recorded on the actigraphy device:</w:t>
            </w:r>
          </w:p>
          <w:p w14:paraId="35BD0346" w14:textId="77777777" w:rsidR="003562FC" w:rsidRPr="002076A7" w:rsidRDefault="00000000" w:rsidP="003562FC">
            <w:pPr>
              <w:rPr>
                <w:b/>
                <w:bCs/>
                <w:rPrChange w:id="2" w:author="Gebresellassie, Estifanos Zenebe" w:date="2026-08-25T08:36:00Z" w16du:dateUtc="2026-08-25T15:36:00Z">
                  <w:rPr/>
                </w:rPrChange>
              </w:rPr>
            </w:pPr>
            <w:r w:rsidRPr="0009119E">
              <w:t xml:space="preserve">-- </w:t>
            </w:r>
            <w:r w:rsidRPr="002076A7">
              <w:rPr>
                <w:b/>
                <w:bCs/>
                <w:rPrChange w:id="3" w:author="Gebresellassie, Estifanos Zenebe" w:date="2026-08-25T08:36:00Z" w16du:dateUtc="2026-08-25T15:36:00Z">
                  <w:rPr/>
                </w:rPrChange>
              </w:rPr>
              <w:t>2a. Number of days with at least 10h of minimum physical activity (&gt;128 steps per day)</w:t>
            </w:r>
          </w:p>
          <w:p w14:paraId="2F336B0C" w14:textId="77777777" w:rsidR="003562FC" w:rsidRPr="002076A7" w:rsidRDefault="00000000" w:rsidP="003562FC">
            <w:pPr>
              <w:rPr>
                <w:b/>
                <w:bCs/>
                <w:rPrChange w:id="4" w:author="Gebresellassie, Estifanos Zenebe" w:date="2026-08-25T08:36:00Z" w16du:dateUtc="2026-08-25T15:36:00Z">
                  <w:rPr/>
                </w:rPrChange>
              </w:rPr>
            </w:pPr>
            <w:r w:rsidRPr="002076A7">
              <w:rPr>
                <w:b/>
                <w:bCs/>
                <w:rPrChange w:id="5" w:author="Gebresellassie, Estifanos Zenebe" w:date="2026-08-25T08:36:00Z" w16du:dateUtc="2026-08-25T15:36:00Z">
                  <w:rPr/>
                </w:rPrChange>
              </w:rPr>
              <w:t>-- 2b. Number of days with at least one overnight sleep event</w:t>
            </w:r>
          </w:p>
          <w:p w14:paraId="629E844C" w14:textId="77777777" w:rsidR="003562FC" w:rsidRPr="002076A7" w:rsidRDefault="00000000" w:rsidP="003562FC">
            <w:pPr>
              <w:rPr>
                <w:b/>
                <w:bCs/>
                <w:rPrChange w:id="6" w:author="Gebresellassie, Estifanos Zenebe" w:date="2026-08-25T08:36:00Z" w16du:dateUtc="2026-08-25T15:36:00Z">
                  <w:rPr/>
                </w:rPrChange>
              </w:rPr>
            </w:pPr>
            <w:r w:rsidRPr="002076A7">
              <w:rPr>
                <w:b/>
                <w:bCs/>
                <w:rPrChange w:id="7" w:author="Gebresellassie, Estifanos Zenebe" w:date="2026-08-25T08:36:00Z" w16du:dateUtc="2026-08-25T15:36:00Z">
                  <w:rPr/>
                </w:rPrChange>
              </w:rPr>
              <w:t>-- 2c. Number of days with at least 20 daytime and 7 overnight BP readings</w:t>
            </w:r>
          </w:p>
          <w:p w14:paraId="764648C0" w14:textId="77777777" w:rsidR="003562FC" w:rsidRPr="0009119E" w:rsidRDefault="00000000" w:rsidP="003562FC">
            <w:r w:rsidRPr="0009119E">
              <w:lastRenderedPageBreak/>
              <w:t>3. Participant feedback score on the System Usability Scale survey.</w:t>
            </w:r>
          </w:p>
          <w:p w14:paraId="0161D23C" w14:textId="77777777" w:rsidR="003562FC" w:rsidRPr="0009119E" w:rsidRDefault="003562FC" w:rsidP="003562FC"/>
        </w:tc>
      </w:tr>
      <w:tr w:rsidR="0084152C" w14:paraId="6773B35E" w14:textId="77777777" w:rsidTr="003562FC">
        <w:tc>
          <w:tcPr>
            <w:tcW w:w="9990" w:type="dxa"/>
          </w:tcPr>
          <w:p w14:paraId="23AF59C8" w14:textId="77777777" w:rsidR="003562FC" w:rsidRPr="0009119E" w:rsidRDefault="00000000" w:rsidP="003562FC">
            <w:pPr>
              <w:pStyle w:val="SpacingSmallAlignleft"/>
              <w:spacing w:before="0" w:after="0"/>
            </w:pPr>
            <w:r w:rsidRPr="0009119E">
              <w:rPr>
                <w:rStyle w:val="h2Cover"/>
                <w:sz w:val="20"/>
                <w:szCs w:val="20"/>
              </w:rPr>
              <w:lastRenderedPageBreak/>
              <w:t xml:space="preserve">Secondary and Exploratory Outcome Variables </w:t>
            </w:r>
          </w:p>
          <w:p w14:paraId="19140BBD" w14:textId="77777777" w:rsidR="003562FC" w:rsidRPr="0009119E" w:rsidRDefault="00000000" w:rsidP="003562FC">
            <w:pPr>
              <w:pStyle w:val="SpacingSmallAlignleft"/>
              <w:spacing w:before="0" w:after="0"/>
            </w:pPr>
            <w:r w:rsidRPr="0009119E">
              <w:t>Secondary outcome variables:</w:t>
            </w:r>
          </w:p>
          <w:p w14:paraId="311304BA" w14:textId="77777777" w:rsidR="003562FC" w:rsidRPr="0009119E" w:rsidRDefault="00000000" w:rsidP="003562FC">
            <w:r w:rsidRPr="0009119E">
              <w:rPr>
                <w:u w:val="single"/>
              </w:rPr>
              <w:t>CGM variables:</w:t>
            </w:r>
          </w:p>
          <w:p w14:paraId="41A91219" w14:textId="77777777" w:rsidR="003562FC" w:rsidRPr="0009119E" w:rsidRDefault="00000000" w:rsidP="003562FC">
            <w:r w:rsidRPr="0009119E">
              <w:t>1. Average glucose</w:t>
            </w:r>
          </w:p>
          <w:p w14:paraId="0E2825F6" w14:textId="77777777" w:rsidR="003562FC" w:rsidRPr="0009119E" w:rsidRDefault="00000000" w:rsidP="003562FC">
            <w:r w:rsidRPr="0009119E">
              <w:t>2. Glucose variability computed as the coefficient of variation</w:t>
            </w:r>
          </w:p>
          <w:p w14:paraId="3544F422" w14:textId="77777777" w:rsidR="003562FC" w:rsidRPr="0009119E" w:rsidRDefault="00000000" w:rsidP="003562FC">
            <w:r w:rsidRPr="0009119E">
              <w:t>3. Time in 63-140 mg/dL range for all, daytime (0600h- 2359h), and overnight (0000h-0559h)) glucose readings</w:t>
            </w:r>
          </w:p>
          <w:p w14:paraId="315684CF" w14:textId="77777777" w:rsidR="003562FC" w:rsidRPr="0009119E" w:rsidRDefault="00000000" w:rsidP="003562FC">
            <w:r w:rsidRPr="0009119E">
              <w:rPr>
                <w:u w:val="single"/>
              </w:rPr>
              <w:t>Physical activity variables</w:t>
            </w:r>
          </w:p>
          <w:p w14:paraId="5F31C57A" w14:textId="77777777" w:rsidR="003562FC" w:rsidRPr="0009119E" w:rsidRDefault="00000000" w:rsidP="003562FC">
            <w:r w:rsidRPr="0009119E">
              <w:t>1. Average daily steps</w:t>
            </w:r>
          </w:p>
          <w:p w14:paraId="1371AFB7" w14:textId="77777777" w:rsidR="003562FC" w:rsidRPr="0009119E" w:rsidRDefault="00000000" w:rsidP="003562FC">
            <w:r w:rsidRPr="0009119E">
              <w:t>2. Average weekly sedentary minutes</w:t>
            </w:r>
          </w:p>
          <w:p w14:paraId="0B6EC385" w14:textId="77777777" w:rsidR="003562FC" w:rsidRPr="0009119E" w:rsidRDefault="00000000" w:rsidP="003562FC">
            <w:r w:rsidRPr="0009119E">
              <w:t>3. Average weekly minutes of moderate to vigorous physical activity</w:t>
            </w:r>
          </w:p>
          <w:p w14:paraId="334F7619" w14:textId="77777777" w:rsidR="003562FC" w:rsidRPr="0009119E" w:rsidRDefault="00000000" w:rsidP="003562FC">
            <w:r w:rsidRPr="0009119E">
              <w:t>4. Average resting heart rate</w:t>
            </w:r>
          </w:p>
          <w:p w14:paraId="0A725A14" w14:textId="77777777" w:rsidR="003562FC" w:rsidRPr="0009119E" w:rsidRDefault="00000000" w:rsidP="003562FC">
            <w:r w:rsidRPr="0009119E">
              <w:rPr>
                <w:u w:val="single"/>
              </w:rPr>
              <w:t>Sleep metrics</w:t>
            </w:r>
          </w:p>
          <w:p w14:paraId="5FF65F32" w14:textId="77777777" w:rsidR="003562FC" w:rsidRPr="0009119E" w:rsidRDefault="00000000" w:rsidP="003562FC">
            <w:r w:rsidRPr="0009119E">
              <w:t>1. Average daily minutes asleep</w:t>
            </w:r>
          </w:p>
          <w:p w14:paraId="09AEE845" w14:textId="77777777" w:rsidR="003562FC" w:rsidRPr="0009119E" w:rsidRDefault="00000000" w:rsidP="003562FC">
            <w:r w:rsidRPr="0009119E">
              <w:t>2. Average daily minutes awake after sleep onset</w:t>
            </w:r>
          </w:p>
          <w:p w14:paraId="16115026" w14:textId="77777777" w:rsidR="003562FC" w:rsidRPr="0009119E" w:rsidRDefault="00000000" w:rsidP="003562FC">
            <w:r w:rsidRPr="0009119E">
              <w:t>3. Average daily minutes of light, deep, and REM sleep</w:t>
            </w:r>
          </w:p>
          <w:p w14:paraId="313C744F" w14:textId="77777777" w:rsidR="003562FC" w:rsidRPr="0009119E" w:rsidRDefault="00000000" w:rsidP="003562FC">
            <w:r w:rsidRPr="0009119E">
              <w:rPr>
                <w:u w:val="single"/>
              </w:rPr>
              <w:t>Blood pressure variables</w:t>
            </w:r>
          </w:p>
          <w:p w14:paraId="7746BE82" w14:textId="77777777" w:rsidR="003562FC" w:rsidRPr="0009119E" w:rsidRDefault="00000000" w:rsidP="003562FC">
            <w:r w:rsidRPr="0009119E">
              <w:t>1. Average daily systolic blood pressure</w:t>
            </w:r>
          </w:p>
          <w:p w14:paraId="700769D3" w14:textId="77777777" w:rsidR="003562FC" w:rsidRPr="0009119E" w:rsidRDefault="00000000" w:rsidP="003562FC">
            <w:r w:rsidRPr="0009119E">
              <w:t>2. Average daily diastolic blood pressure</w:t>
            </w:r>
          </w:p>
        </w:tc>
      </w:tr>
      <w:tr w:rsidR="0084152C" w14:paraId="16A5A42A" w14:textId="77777777" w:rsidTr="003562FC">
        <w:tc>
          <w:tcPr>
            <w:tcW w:w="9990" w:type="dxa"/>
          </w:tcPr>
          <w:p w14:paraId="5CB516C1" w14:textId="77777777" w:rsidR="003562FC" w:rsidRPr="0009119E" w:rsidRDefault="00000000" w:rsidP="003562FC">
            <w:pPr>
              <w:pStyle w:val="SpacingSmallAlignleft"/>
              <w:spacing w:before="0" w:after="0"/>
            </w:pPr>
            <w:r w:rsidRPr="0009119E">
              <w:rPr>
                <w:rStyle w:val="h2Cover"/>
                <w:sz w:val="20"/>
                <w:szCs w:val="20"/>
              </w:rPr>
              <w:t>Study Population</w:t>
            </w:r>
          </w:p>
          <w:p w14:paraId="2A36E2C0" w14:textId="77777777" w:rsidR="003562FC" w:rsidRPr="0009119E" w:rsidRDefault="00000000" w:rsidP="003562FC">
            <w:r w:rsidRPr="0009119E">
              <w:t>We will recruit patients ≥18 years of age who are receiving care at NYU Langone Obstetrics &amp; Gynecology Associates, who have access to any type of smartphone, and are willing to wear the chosen wearables.</w:t>
            </w:r>
          </w:p>
        </w:tc>
      </w:tr>
      <w:tr w:rsidR="0084152C" w14:paraId="1C9B39A3" w14:textId="77777777" w:rsidTr="003562FC">
        <w:tc>
          <w:tcPr>
            <w:tcW w:w="9990" w:type="dxa"/>
          </w:tcPr>
          <w:p w14:paraId="6B978C83" w14:textId="77777777" w:rsidR="003562FC" w:rsidRPr="0009119E" w:rsidRDefault="00000000" w:rsidP="003562FC">
            <w:pPr>
              <w:pStyle w:val="SpacingSmallAlignleft"/>
              <w:spacing w:before="0" w:after="0"/>
            </w:pPr>
            <w:r w:rsidRPr="0009119E">
              <w:rPr>
                <w:rStyle w:val="h2Cover"/>
                <w:sz w:val="20"/>
                <w:szCs w:val="20"/>
              </w:rPr>
              <w:t>Number of Participants</w:t>
            </w:r>
          </w:p>
          <w:p w14:paraId="2FF672B4" w14:textId="77777777" w:rsidR="003562FC" w:rsidRPr="0009119E" w:rsidRDefault="00000000" w:rsidP="003562FC">
            <w:r w:rsidRPr="0009119E">
              <w:t xml:space="preserve">The goal for the study is to prospectively enroll 40 participants. </w:t>
            </w:r>
          </w:p>
        </w:tc>
      </w:tr>
      <w:tr w:rsidR="0084152C" w14:paraId="50718C12" w14:textId="77777777" w:rsidTr="003562FC">
        <w:tc>
          <w:tcPr>
            <w:tcW w:w="9990" w:type="dxa"/>
          </w:tcPr>
          <w:p w14:paraId="09FED851" w14:textId="77777777" w:rsidR="003562FC" w:rsidRPr="0009119E" w:rsidRDefault="00000000" w:rsidP="003562FC">
            <w:pPr>
              <w:pStyle w:val="SpacingSmallAlignleft"/>
              <w:spacing w:before="0" w:after="0"/>
            </w:pPr>
            <w:r w:rsidRPr="0009119E">
              <w:rPr>
                <w:rStyle w:val="h2Cover"/>
                <w:sz w:val="20"/>
                <w:szCs w:val="20"/>
              </w:rPr>
              <w:t>Study Schedule</w:t>
            </w:r>
          </w:p>
          <w:p w14:paraId="10BD5473" w14:textId="77777777" w:rsidR="003562FC" w:rsidRPr="0009119E" w:rsidRDefault="00000000" w:rsidP="003562FC">
            <w:r w:rsidRPr="0009119E">
              <w:rPr>
                <w:u w:val="single"/>
              </w:rPr>
              <w:t>Screening for eligibility</w:t>
            </w:r>
            <w:r w:rsidRPr="0009119E">
              <w:t>: Patients receiving care at NYU Langone Obstetrics &amp; Gynecology Associates will be screened for potential eligibility before their 12-week gestation visit.</w:t>
            </w:r>
          </w:p>
          <w:p w14:paraId="4A5D7C05" w14:textId="77777777" w:rsidR="003562FC" w:rsidRPr="0009119E" w:rsidRDefault="00000000" w:rsidP="003562FC">
            <w:r w:rsidRPr="0009119E">
              <w:rPr>
                <w:u w:val="single"/>
              </w:rPr>
              <w:t>Consent</w:t>
            </w:r>
            <w:r w:rsidRPr="0009119E">
              <w:t>: After confirmation of eligibility, study staff will explain the details of the study to eligible patients at their 12-week gestation clinic visit. If the patient consents to participate and expresses a willingness to wear the digital devices, patients will be enrolled.</w:t>
            </w:r>
          </w:p>
          <w:p w14:paraId="7F6BA727" w14:textId="77777777" w:rsidR="003562FC" w:rsidRPr="0009119E" w:rsidRDefault="00000000" w:rsidP="003562FC">
            <w:r w:rsidRPr="0009119E">
              <w:rPr>
                <w:u w:val="single"/>
              </w:rPr>
              <w:t>Digital devices and compensation</w:t>
            </w:r>
            <w:r w:rsidRPr="0009119E">
              <w:t>: Consented participants will be given the devices, and the research coordinator will help the patients attach and activate the devices. Participants will be given a ClinCard for study compensation ($10 for returning the two digital devices and $10 for completing the survey for a total possible compensation of $30 at each visit). For five visits, the maximum compensation is expected to be $150. If participants tell the research team that they expect to receive $600 in research compensation in the calendar year, the study team will collect Social Security numbers and ask the participant to complete a W9.</w:t>
            </w:r>
          </w:p>
          <w:p w14:paraId="5FF86D1D" w14:textId="77777777" w:rsidR="003562FC" w:rsidRPr="0009119E" w:rsidRDefault="00000000" w:rsidP="003562FC">
            <w:r w:rsidRPr="0009119E">
              <w:rPr>
                <w:u w:val="single"/>
              </w:rPr>
              <w:t>Device return</w:t>
            </w:r>
            <w:r w:rsidRPr="0009119E">
              <w:t>: All participants will be given two options on how to return their devices:</w:t>
            </w:r>
          </w:p>
          <w:p w14:paraId="587EEBBE" w14:textId="77777777" w:rsidR="003562FC" w:rsidRPr="0009119E" w:rsidRDefault="00000000" w:rsidP="003562FC">
            <w:pPr>
              <w:numPr>
                <w:ilvl w:val="0"/>
                <w:numId w:val="1"/>
              </w:numPr>
            </w:pPr>
            <w:r w:rsidRPr="0009119E">
              <w:t>Return via mail- Participants will be provided with a box and pre-paid shipping label to mail the study materials back to the study team.</w:t>
            </w:r>
          </w:p>
          <w:p w14:paraId="1826BBAE" w14:textId="77777777" w:rsidR="003562FC" w:rsidRPr="0009119E" w:rsidRDefault="00000000" w:rsidP="003562FC">
            <w:pPr>
              <w:numPr>
                <w:ilvl w:val="0"/>
                <w:numId w:val="1"/>
              </w:numPr>
            </w:pPr>
            <w:r w:rsidRPr="0009119E">
              <w:t>In-person drop-off- Participants will be asked to bring the devices with them to a subsequent clinic visit. The study staff will be present to collect the materials</w:t>
            </w:r>
          </w:p>
          <w:p w14:paraId="20FACC04" w14:textId="77777777" w:rsidR="003562FC" w:rsidRPr="0009119E" w:rsidRDefault="00000000" w:rsidP="003562FC">
            <w:r w:rsidRPr="0009119E">
              <w:rPr>
                <w:u w:val="single"/>
              </w:rPr>
              <w:t>Device survey</w:t>
            </w:r>
            <w:r w:rsidRPr="0009119E">
              <w:t>: Once the digital devices have been returned, participants will be emailed a link containing a questionnaire based on the System Usability Scale. Participants will be given two weeks to complete the questionnaire. Participants may also be approached in person at a clinic appointment to complete the survey if they express an interest in completing the survey in person.</w:t>
            </w:r>
          </w:p>
        </w:tc>
      </w:tr>
    </w:tbl>
    <w:p w14:paraId="2F17677B" w14:textId="77777777" w:rsidR="003562FC" w:rsidRPr="0009119E" w:rsidRDefault="003562FC" w:rsidP="003562FC"/>
    <w:p w14:paraId="2FE9A477" w14:textId="77777777" w:rsidR="003562FC" w:rsidRPr="0009119E" w:rsidRDefault="00000000" w:rsidP="003562FC">
      <w:pPr>
        <w:pStyle w:val="Heading1"/>
        <w:spacing w:after="0"/>
        <w:rPr>
          <w:rFonts w:cs="Arial"/>
          <w:sz w:val="20"/>
          <w:szCs w:val="20"/>
        </w:rPr>
      </w:pPr>
      <w:bookmarkStart w:id="8" w:name="_Toc3"/>
      <w:r w:rsidRPr="0009119E">
        <w:rPr>
          <w:rFonts w:cs="Arial"/>
          <w:sz w:val="20"/>
          <w:szCs w:val="20"/>
        </w:rPr>
        <w:t>1. Statement of Compliance</w:t>
      </w:r>
      <w:bookmarkEnd w:id="8"/>
    </w:p>
    <w:p w14:paraId="31572759" w14:textId="77777777" w:rsidR="003562FC" w:rsidRDefault="00000000" w:rsidP="003562FC">
      <w:r w:rsidRPr="0009119E">
        <w:t>This study will be conducted in accordance with the Code of Federal Regulations on the Protection of Human Subjects (45 CFR Part 46), any other applicable US government research regulations, and institutional research policies and procedures. The Principal Investigators will assure that no deviation from, or changes to the protocol will take place without prior agreement from the sponsor and documented approval from the Institutional Review Board (IRB), except where necessary to eliminate an immediate hazard(s) to the study participants. All personnel involved in the conduct of this study have completed Human Subjects Protection Training.</w:t>
      </w:r>
    </w:p>
    <w:p w14:paraId="778D4B0F" w14:textId="77777777" w:rsidR="003562FC" w:rsidRPr="0009119E" w:rsidRDefault="003562FC" w:rsidP="003562FC"/>
    <w:p w14:paraId="02857477" w14:textId="77777777" w:rsidR="003562FC" w:rsidRPr="0009119E" w:rsidRDefault="00000000" w:rsidP="003562FC">
      <w:pPr>
        <w:pStyle w:val="Heading1"/>
        <w:spacing w:after="0"/>
        <w:rPr>
          <w:rFonts w:cs="Arial"/>
          <w:sz w:val="20"/>
          <w:szCs w:val="20"/>
        </w:rPr>
      </w:pPr>
      <w:bookmarkStart w:id="9" w:name="_Toc5"/>
      <w:r w:rsidRPr="0009119E">
        <w:rPr>
          <w:rFonts w:cs="Arial"/>
          <w:sz w:val="20"/>
          <w:szCs w:val="20"/>
        </w:rPr>
        <w:lastRenderedPageBreak/>
        <w:t>2. Background</w:t>
      </w:r>
      <w:bookmarkEnd w:id="9"/>
    </w:p>
    <w:p w14:paraId="54D1B001" w14:textId="77777777" w:rsidR="003562FC" w:rsidRDefault="00000000" w:rsidP="003562FC">
      <w:r w:rsidRPr="0009119E">
        <w:rPr>
          <w:bCs/>
          <w:u w:val="single"/>
        </w:rPr>
        <w:t>Hypertensive disorders in pregnancy (HDPs)</w:t>
      </w:r>
      <w:r w:rsidRPr="0009119E">
        <w:rPr>
          <w:bCs/>
        </w:rPr>
        <w:t>, defined as pre-pregnancy hypertension or pregnancy-associated hypertension, are one of the major cardiometabolic pregnancy complications, affecting ~16% of pregnant women in the US.</w:t>
      </w:r>
      <w:r w:rsidRPr="0009119E">
        <w:rPr>
          <w:bCs/>
        </w:rPr>
        <w:fldChar w:fldCharType="begin"/>
      </w:r>
      <w:r w:rsidRPr="0009119E">
        <w:rPr>
          <w:bCs/>
        </w:rPr>
        <w:instrText xml:space="preserve"> ADDIN ZOTERO_ITEM CSL_CITATION {"citationID":"AoYQTnku","properties":{"formattedCitation":"\\super 1\\nosupersub{}","plainCitation":"1","noteIndex":0},"citationItems":[{"id":"rWXnUXcb/ipivGxHJ","uris":["http://zotero.org/users/6694618/items/KH7BBAVW"],"itemData":{"id":1599,"type":"article-journal","abstract":"This report describes hypertensive disorders in pregnancy and mortality at delivery hospitals in the United States.","container-title":"MMWR. Morbidity and Mortality Weekly Report","DOI":"10.15585/mmwr.mm7117a1","ISSN":"0149-21951545-861X","journalAbbreviation":"MMWR Morb Mortal Wkly Rep","language":"en-us","source":"www.cdc.gov","title":"Hypertensive Disorders in Pregnancy and Mortality at Delivery Hospitalization — United States, 2017–2019","URL":"https://www.cdc.gov/mmwr/volumes/71/wr/mm7117a1.htm","volume":"71","author":[{"family":"Ford","given":"Nicole D."}],"accessed":{"date-parts":[["2023",5,15]]},"issued":{"date-parts":[["2022"]]}}}],"schema":"https://github.com/citation-style-language/schema/raw/master/csl-citation.json"} </w:instrText>
      </w:r>
      <w:r w:rsidRPr="0009119E">
        <w:rPr>
          <w:bCs/>
        </w:rPr>
        <w:fldChar w:fldCharType="separate"/>
      </w:r>
      <w:r w:rsidRPr="0009119E">
        <w:rPr>
          <w:vertAlign w:val="superscript"/>
        </w:rPr>
        <w:t>1</w:t>
      </w:r>
      <w:r w:rsidRPr="0009119E">
        <w:rPr>
          <w:bCs/>
        </w:rPr>
        <w:fldChar w:fldCharType="end"/>
      </w:r>
      <w:r w:rsidRPr="0009119E">
        <w:rPr>
          <w:bCs/>
        </w:rPr>
        <w:t xml:space="preserve"> </w:t>
      </w:r>
      <w:r w:rsidRPr="0009119E">
        <w:rPr>
          <w:bCs/>
          <w:u w:val="single"/>
        </w:rPr>
        <w:t>Gestational diabetes mellitus (GDM),</w:t>
      </w:r>
      <w:r w:rsidRPr="0009119E">
        <w:rPr>
          <w:bCs/>
        </w:rPr>
        <w:t xml:space="preserve"> defined as diabetes that develops during pregnancy, is another common cardiometabolic complication affecting ~8% of pregnancies each year.</w:t>
      </w:r>
      <w:r w:rsidRPr="0009119E">
        <w:rPr>
          <w:bCs/>
        </w:rPr>
        <w:fldChar w:fldCharType="begin"/>
      </w:r>
      <w:r w:rsidRPr="0009119E">
        <w:rPr>
          <w:bCs/>
        </w:rPr>
        <w:instrText xml:space="preserve"> ADDIN ZOTERO_ITEM CSL_CITATION {"citationID":"ARXDSWEA","properties":{"formattedCitation":"\\super 2\\nosupersub{}","plainCitation":"2","noteIndex":0},"citationItems":[{"id":"rWXnUXcb/kgcDHuT8","uris":["http://zotero.org/users/6694618/items/EKJUI6QI"],"itemData":{"id":1602,"type":"report","abstract":"This report presents data on trends for gestational diabetes among women giving birth in the United States from 2016 through 2020, and rates by selected maternal and newborn characteristics for 2016, 2019, and 2020.","note":"DOI: 10.15620/cdc:118018\nDOI: 10.15620/cdc:118018","publisher":"National Center for Health Statistics (U.S.)","source":"DOI.org (Crossref)","title":"Trends and Characteristics in Gestational Diabetes: United States, 2016–2020","title-short":"Trends and Characteristics in Gestational Diabetes","URL":"https://stacks.cdc.gov/view/cdc/118018","author":[{"family":"Gregory C.W.","given":"Elizabeth"},{"family":"Danielle M.","given":"Ely"}],"accessed":{"date-parts":[["2023",5,15]]},"issued":{"date-parts":[["2022",7,19]]}}}],"schema":"https://github.com/citation-style-language/schema/raw/master/csl-citation.json"} </w:instrText>
      </w:r>
      <w:r w:rsidRPr="0009119E">
        <w:rPr>
          <w:bCs/>
        </w:rPr>
        <w:fldChar w:fldCharType="separate"/>
      </w:r>
      <w:r w:rsidRPr="0009119E">
        <w:rPr>
          <w:vertAlign w:val="superscript"/>
        </w:rPr>
        <w:t>2</w:t>
      </w:r>
      <w:r w:rsidRPr="0009119E">
        <w:rPr>
          <w:bCs/>
        </w:rPr>
        <w:fldChar w:fldCharType="end"/>
      </w:r>
      <w:r w:rsidRPr="0009119E">
        <w:rPr>
          <w:bCs/>
        </w:rPr>
        <w:t xml:space="preserve"> Both HDP and GDM are associated with an increased risk of cardiometabolic complications in the mother and offspring in the short as well as long term.</w:t>
      </w:r>
      <w:r w:rsidRPr="0009119E">
        <w:rPr>
          <w:bCs/>
        </w:rPr>
        <w:fldChar w:fldCharType="begin"/>
      </w:r>
      <w:r w:rsidRPr="0009119E">
        <w:rPr>
          <w:bCs/>
        </w:rPr>
        <w:instrText xml:space="preserve"> ADDIN ZOTERO_ITEM CSL_CITATION {"citationID":"X2miGiZW","properties":{"formattedCitation":"\\super 3\\uc0\\u8211{}6\\nosupersub{}","plainCitation":"3–6","noteIndex":0},"citationItems":[{"id":"rWXnUXcb/xZHeWAFP","uris":["http://zotero.org/users/6694618/items/5N83HEXQ"],"itemData":{"id":1630,"type":"article-journal","abstract":"Among 220,024 women in the UK Biobank, history of a hypertensive disorder of pregnancy (HDP) was associated with elevated arterial stiffness indices and greater prevalence of chronic hypertension. In prospective follow-up, prior HDP was associated with shorter time to first incident cardiovascular diagnosis and increased hazards of coronary artery disease, heart failure, aortic stenosis, and mitral regurgitation. In causal mediation analysis, chronic hypertension largely but incompletely explained HDP’s association with incident coronary artery disease and heart failure. Taken together, these findings suggest HDP are associated with accelerated cardiovascular aging and greater long-term incidence of diverse cardiovascular conditions than previously appreciated, including valvular heart disease.","container-title":"Journal of the American College of Cardiology","DOI":"10.1016/j.jacc.2019.09.052","ISSN":"0735-1097","issue":"22","journalAbbreviation":"J Am Coll Cardiol","note":"PMID: 31727424\nPMCID: PMC6981240","page":"2743-2754","source":"PubMed Central","title":"Long-Term Cardiovascular Risk in Women with Hypertension during Pregnancy","volume":"74","author":[{"family":"Honigberg","given":"Michael C."},{"family":"Zekavat","given":"Seyedeh Maryam"},{"family":"Aragam","given":"Krishna"},{"family":"Klarin","given":"Derek"},{"family":"Bhatt","given":"Deepak L."},{"family":"Scott","given":"Nandita S."},{"family":"Peloso","given":"Gina M."},{"family":"Natarajan","given":"Pradeep"}],"issued":{"date-parts":[["2019",12,3]]}}},{"id":"rWXnUXcb/6VBzCuMd","uris":["http://zotero.org/users/6694618/items/98N8GI6U"],"itemData":{"id":1635,"type":"article-journal","abstract":"Women with hypertensive disorders in pregnancy are at increased lifetime risk for cardiovascular disease. We examined the offspring’s cardiovascular risk profile in young adulthood and their siblings’ cardiovascular risk profile. From the HUNT study (Nord-Trøndelag Health Study) in Norway, 15 778 participants (mean age: 29 years), including 210 sibling groups, were linked to information from the Medical Birth Registry of Norway. Blood pressure, anthropometry, serum lipids, and C-reactive protein were assessed. Seven hundred and six participants were born after exposure to maternal hypertension in pregnancy: 336 mothers had gestational hypertension, 343 had term preeclampsia, and 27 had preterm preeclampsia. Offspring whose mothers had hypertension in pregnancy had 2.7 (95% confidence interval, 1.8–3.5) mm Hg higher systolic blood pressure, 1.5 (0.9–2.1) mm Hg higher diastolic blood pressure, 0.66 (0.31–1.01) kg/m2 higher body mass index, and 1.49 (0.65–2.33) cm wider waist circumference, compared with offspring of normotensive pregnancies. Similar differences were observed for gestational hypertension and term preeclampsia. Term preeclampsia was also associated with higher concentrations of non–high-density lipoprotein cholesterol (0.14 mmol/L, 0.03–0.25) and triglycerides (0.13 mmol/L, 0.06–0.21). Siblings born after a normotensive pregnancy had nearly identical risk factor levels as siblings born after maternal hypertension. Offspring born after maternal hypertension in pregnancy have a more adverse cardiovascular risk profile in young adulthood than offspring of normotensive pregnancies. Their siblings, born after a normotensive pregnancy, have a similar risk profile, suggesting that shared genes or lifestyle may account for the association, rather than an intrauterine effect. All children of mothers who have experienced hypertension in pregnancy may be at increased lifetime risk of cardiovascular disease.","container-title":"Hypertension","DOI":"10.1161/HYPERTENSIONAHA.116.08414","issue":"4","note":"publisher: American Heart Association","page":"591-598","source":"ahajournals.org (Atypon)","title":"Hypertension in Pregnancy and Offspring Cardiovascular Risk in Young Adulthood","volume":"69","author":[{"family":"Alsnes","given":"Ingvild V."},{"family":"Vatten","given":"Lars J."},{"family":"Fraser","given":"Abigail"},{"family":"Bjørngaard","given":"Johan Håkon"},{"family":"Rich-Edwards","given":"Janet"},{"family":"Romundstad","given":"Pål R."},{"family":"Åsvold","given":"Bjørn O."}],"issued":{"date-parts":[["2017",4]]}}},{"id":"rWXnUXcb/Zo2NunIL","uris":["http://zotero.org/users/6694618/items/TS9J6Y2W"],"itemData":{"id":1644,"type":"article-journal","abstract":"Gestational diabetes mellitus (GDM) is defined as glucose intolerance of varying severity and is present in about 2–6% of all pregnancies in Europe, making it one of the most common pregnancy disorders. Aside from the short-term maternal, fetal and neonatal consequences associated with GDM, there are long-term consequences for both mother and child. Although maternal glucose tolerance often normalises shortly after pregnancy, women with GDM have a substantially increased risk of developing type 2 diabetes later in life. Studies have reported that women are more than seven times as likely to develop diabetes after GDM, and that approximately 50% of mothers with GDM will develop diabetes within 10 years, making GDM one of the strongest predictors of type 2 diabetes. In women with previous GDM, development of type 2 diabetes can be prevented or delayed by lifestyle intervention and/or medical treatment. Systematic follow-up programmes would be ideal to prevent progression of GDM to diabetes, but such programmes are unfortunately lacking in the routine clinical set-up in most countries. Studies have found that the risks of obesity, the metabolic syndrome, type 2 diabetes and impaired insulin sensitivity and secretion in offspring of mothers with GDM are two- to eightfold those in offspring of mothers without GDM. The underlying pathogenic mechanisms behind the abnormal metabolic risk profile in offspring are unknown, but epigenetic changes induced by exposure to maternal hyperglycaemia during fetal life are implicated. Animal studies indicate that treatment can prevent long-term metabolic complications in offspring, but this remains to be confirmed in humans. Thus, diabetes begets diabetes and it is likely that GDM plays a significant role in the global diabetes epidemic. This review summarises a presentation given at the ‘Gestational diabetes: what’s up?’ symposium at the 2015 annual meeting of the EASD. It is accompanied by two other reviews on topics from this symposium (by Marja Vääräsmäki, DOI: 10.1007/s00125-016-3976-6, and by Cuilin Zhang and colleagues, DOI: 10.1007/s00125-016-3979-3) and an overview by the Session Chair, Kerstin Berntorp (DOI: 10.1007/s00125-016-3975-7).","container-title":"Diabetologia","DOI":"10.1007/s00125-016-3985-5","ISSN":"1432-0428","issue":"7","journalAbbreviation":"Diabetologia","language":"en","page":"1396-1399","source":"Springer Link","title":"Gestational diabetes mellitus and long-term consequences for mother and offspring: a view from Denmark","title-short":"Gestational diabetes mellitus and long-term consequences for mother and offspring","volume":"59","author":[{"family":"Damm","given":"Peter"},{"family":"Houshmand-Oeregaard","given":"Azadeh"},{"family":"Kelstrup","given":"Louise"},{"family":"Lauenborg","given":"Jeannet"},{"family":"Mathiesen","given":"Elisabeth R."},{"family":"Clausen","given":"Tine D."}],"issued":{"date-parts":[["2016",7,1]]}},"label":"page"},{"id":"rWXnUXcb/FuBE7Wuf","uris":["http://zotero.org/users/6694618/items/8YP68DGD"],"itemData":{"id":1646,"type":"article-journal","abstract":"Gestational diabetes and obesity are the common metabolic abnormalities occurring during pregnancy. Decreased maternal pregravid insulin sensitivity (insulin resistance) coupled with an inadequate insulin response are the pathophysiological mechanisms underlying the development of gestational diabetes. Insulin-regulated carbohydrate, lipid and protein metabolism are all affected to a variable degree. Decreased maternal insulin sensitivity in women with gestational diabetes may increase nutrient availability to the fetus, possibly accounting for an increased risk of fetal overgrowth and adiposity. Epidemiological studies from Europe show an increased risk of the insulin resistance syndrome in adults who were low birth weight at delivery. However, in the United States over the past 20 y there has been a significant 33% increase in the incidence of type 2 diabetes, which has been associated with a parallel increase in obesity. All age groups have been affected but the most dramatic increases have occurred in adolescents. The relationship between decreased maternal insulin sensitivity and fetal overgrowth particularly in obese women and women with gestational diabetes may help explain the increased incidence of adolescent obesity and related glucose intolerance in the offspring of these women. In this review, we address 1) the pathophysiology of gestational diabetes, 2) the changes in maternal insulin sensitivity during pregnancy that effect maternal accretion of adipose tissue and energy expenditure, 3) the influence of maternal metabolic environment on fetal growth, 4) the life-long effect of being born at either extreme of the birth weight continuum and 5) micronutrients and decreased insulin sensitivity during pregnancy.","container-title":"The Journal of Nutrition","DOI":"10.1093/jn/133.5.1674S","ISSN":"0022-3166","issue":"5","journalAbbreviation":"The Journal of Nutrition","page":"1674S-1683S","source":"Silverchair","title":"Gestational Diabetes and Insulin Resistance: Role in Short- and Long-Term Implications for Mother and Fetus","title-short":"Gestational Diabetes and Insulin Resistance","volume":"133","author":[{"family":"Catalano","given":"Patrick M."},{"family":"Kirwan","given":"John P."},{"family":"Haugel-de Mouzon","given":"Sylvie"},{"family":"King","given":"Janet"}],"issued":{"date-parts":[["2003",5,1]]}}}],"schema":"https://github.com/citation-style-language/schema/raw/master/csl-citation.json"} </w:instrText>
      </w:r>
      <w:r w:rsidRPr="0009119E">
        <w:rPr>
          <w:bCs/>
        </w:rPr>
        <w:fldChar w:fldCharType="separate"/>
      </w:r>
      <w:r w:rsidRPr="0009119E">
        <w:rPr>
          <w:vertAlign w:val="superscript"/>
        </w:rPr>
        <w:t>3–6</w:t>
      </w:r>
      <w:r w:rsidRPr="0009119E">
        <w:rPr>
          <w:bCs/>
        </w:rPr>
        <w:fldChar w:fldCharType="end"/>
      </w:r>
      <w:r w:rsidRPr="0009119E">
        <w:rPr>
          <w:bCs/>
        </w:rPr>
        <w:t xml:space="preserve"> </w:t>
      </w:r>
      <w:r w:rsidRPr="0009119E">
        <w:t>Notably, rates of HDP and GDM are rising,</w:t>
      </w:r>
      <w:r w:rsidRPr="0009119E">
        <w:fldChar w:fldCharType="begin"/>
      </w:r>
      <w:r w:rsidRPr="0009119E">
        <w:instrText xml:space="preserve"> ADDIN ZOTERO_ITEM CSL_CITATION {"citationID":"t7sJ1AEd","properties":{"formattedCitation":"\\super 1,2\\nosupersub{}","plainCitation":"1,2","noteIndex":0},"citationItems":[{"id":"rWXnUXcb/ipivGxHJ","uris":["http://zotero.org/users/6694618/items/KH7BBAVW"],"itemData":{"id":1599,"type":"article-journal","abstract":"This report describes hypertensive disorders in pregnancy and mortality at delivery hospitals in the United States.","container-title":"MMWR. Morbidity and Mortality Weekly Report","DOI":"10.15585/mmwr.mm7117a1","ISSN":"0149-21951545-861X","journalAbbreviation":"MMWR Morb Mortal Wkly Rep","language":"en-us","source":"www.cdc.gov","title":"Hypertensive Disorders in Pregnancy and Mortality at Delivery Hospitalization — United States, 2017–2019","URL":"https://www.cdc.gov/mmwr/volumes/71/wr/mm7117a1.htm","volume":"71","author":[{"family":"Ford","given":"Nicole D."}],"accessed":{"date-parts":[["2023",5,15]]},"issued":{"date-parts":[["2022"]]}}},{"id":"rWXnUXcb/kgcDHuT8","uris":["http://zotero.org/users/6694618/items/EKJUI6QI"],"itemData":{"id":1602,"type":"report","abstract":"This report presents data on trends for gestational diabetes among women giving birth in the United States from 2016 through 2020, and rates by selected maternal and newborn characteristics for 2016, 2019, and 2020.","note":"DOI: 10.15620/cdc:118018\nDOI: 10.15620/cdc:118018","publisher":"National Center for Health Statistics (U.S.)","source":"DOI.org (Crossref)","title":"Trends and Characteristics in Gestational Diabetes: United States, 2016–2020","title-short":"Trends and Characteristics in Gestational Diabetes","URL":"https://stacks.cdc.gov/view/cdc/118018","author":[{"family":"Gregory C.W.","given":"Elizabeth"},{"family":"Danielle M.","given":"Ely"}],"accessed":{"date-parts":[["2023",5,15]]},"issued":{"date-parts":[["2022",7,19]]}}}],"schema":"https://github.com/citation-style-language/schema/raw/master/csl-citation.json"} </w:instrText>
      </w:r>
      <w:r w:rsidRPr="0009119E">
        <w:fldChar w:fldCharType="separate"/>
      </w:r>
      <w:r w:rsidRPr="0009119E">
        <w:rPr>
          <w:vertAlign w:val="superscript"/>
        </w:rPr>
        <w:t>1,2</w:t>
      </w:r>
      <w:r w:rsidRPr="0009119E">
        <w:fldChar w:fldCharType="end"/>
      </w:r>
      <w:r w:rsidRPr="0009119E">
        <w:t xml:space="preserve"> and are likely to amplify the already high cardiovascular health burden affecting populations worldwide. In summary, both HDP and GDM can </w:t>
      </w:r>
      <w:r w:rsidRPr="0009119E">
        <w:rPr>
          <w:i/>
        </w:rPr>
        <w:t>create a vicious cycle of cardiometabolic risk for future generations</w:t>
      </w:r>
      <w:r w:rsidRPr="0009119E">
        <w:t>. Better prevention and management strategies for HDP and GDM, including early risk prediction, are therefore critical public health challenges.</w:t>
      </w:r>
    </w:p>
    <w:p w14:paraId="0B59E7BE" w14:textId="77777777" w:rsidR="003562FC" w:rsidRPr="0009119E" w:rsidRDefault="003562FC" w:rsidP="003562FC"/>
    <w:p w14:paraId="131C122F" w14:textId="77777777" w:rsidR="003562FC" w:rsidRDefault="00000000" w:rsidP="003562FC">
      <w:r w:rsidRPr="0009119E">
        <w:t>Prior research has provided ample evidence that bio-behaviors such as patterns of dietary intake, physical activity (PA), sleep, and blood pressure (BP) variations are risk factors for HDP and GDM. The advent of wearables and artificial intelligence (AI) offer an unprecedented opportunity early in pregnancy to identify bio-behavioral parameters predictive of HDP/GDM, that may enable earlier interventions and personalized management.</w:t>
      </w:r>
    </w:p>
    <w:p w14:paraId="36F2445B" w14:textId="77777777" w:rsidR="003562FC" w:rsidRPr="0009119E" w:rsidRDefault="003562FC" w:rsidP="003562FC"/>
    <w:p w14:paraId="07352224" w14:textId="77777777" w:rsidR="003562FC" w:rsidRPr="0009119E" w:rsidRDefault="00000000" w:rsidP="003562FC">
      <w:pPr>
        <w:pStyle w:val="Heading1"/>
        <w:spacing w:after="0"/>
        <w:rPr>
          <w:rFonts w:cs="Arial"/>
          <w:sz w:val="20"/>
          <w:szCs w:val="20"/>
        </w:rPr>
      </w:pPr>
      <w:bookmarkStart w:id="10" w:name="_Toc8"/>
      <w:r w:rsidRPr="0009119E">
        <w:rPr>
          <w:rFonts w:cs="Arial"/>
          <w:sz w:val="20"/>
          <w:szCs w:val="20"/>
        </w:rPr>
        <w:t>3. Rationale/Significance</w:t>
      </w:r>
      <w:bookmarkEnd w:id="10"/>
    </w:p>
    <w:p w14:paraId="1C6B72B5" w14:textId="77777777" w:rsidR="003562FC" w:rsidRPr="0009119E" w:rsidRDefault="00000000" w:rsidP="003562FC">
      <w:pPr>
        <w:pStyle w:val="Heading2"/>
        <w:spacing w:before="0" w:after="0"/>
        <w:rPr>
          <w:rFonts w:cs="Arial"/>
          <w:szCs w:val="20"/>
        </w:rPr>
      </w:pPr>
      <w:bookmarkStart w:id="11" w:name="_Toc9"/>
      <w:r w:rsidRPr="0009119E">
        <w:rPr>
          <w:rFonts w:cs="Arial"/>
          <w:szCs w:val="20"/>
        </w:rPr>
        <w:t>3.1 Rationale and Study Significance</w:t>
      </w:r>
      <w:bookmarkEnd w:id="11"/>
    </w:p>
    <w:p w14:paraId="611C42FF" w14:textId="77777777" w:rsidR="003562FC" w:rsidRDefault="00000000" w:rsidP="003562FC">
      <w:r w:rsidRPr="0009119E">
        <w:rPr>
          <w:b/>
          <w:u w:val="single"/>
        </w:rPr>
        <w:t>Rationale</w:t>
      </w:r>
      <w:r w:rsidRPr="0009119E">
        <w:t xml:space="preserve">: New-onset HDP diagnosis (gestational hypertension and preeclampsia) typically occurs </w:t>
      </w:r>
      <w:r w:rsidRPr="0009119E">
        <w:rPr>
          <w:bCs/>
        </w:rPr>
        <w:t xml:space="preserve">after </w:t>
      </w:r>
      <w:r w:rsidRPr="0009119E">
        <w:rPr>
          <w:bCs/>
          <w:iCs/>
        </w:rPr>
        <w:t>20 weeks gestation,</w:t>
      </w:r>
      <w:r w:rsidRPr="0009119E">
        <w:rPr>
          <w:bCs/>
          <w:iCs/>
        </w:rPr>
        <w:fldChar w:fldCharType="begin"/>
      </w:r>
      <w:r w:rsidRPr="0009119E">
        <w:rPr>
          <w:bCs/>
          <w:iCs/>
        </w:rPr>
        <w:instrText xml:space="preserve"> ADDIN ZOTERO_ITEM CSL_CITATION {"citationID":"jkId0V3m","properties":{"formattedCitation":"\\super 7\\nosupersub{}","plainCitation":"7","noteIndex":0},"citationItems":[{"id":"rWXnUXcb/a5wnOJX3","uris":["http://zotero.org/users/6694618/items/BKPDNZU4"],"itemData":{"id":1652,"type":"article-journal","abstract":"Globally, hypertensive disorders of pregnancy are one of the main causes of maternal death. The American College of Obstetricians and Gynecologists has released a practice bulletin to outline diagnosis and treatment recommendations for these conditions.","container-title":"American Family Physician","issue":"10","journalAbbreviation":"afp","language":"en-US","page":"649-650","source":"www.aafp.org","title":"Gestational Hypertension and Preeclampsia: A Practice Bulletin from ACOG","title-short":"Gestational Hypertension and Preeclampsia","volume":"100","author":[{"family":"Croke","given":"Lisa"}],"issued":{"date-parts":[["2019",11,15]]}}}],"schema":"https://github.com/citation-style-language/schema/raw/master/csl-citation.json"} </w:instrText>
      </w:r>
      <w:r w:rsidRPr="0009119E">
        <w:rPr>
          <w:bCs/>
          <w:iCs/>
        </w:rPr>
        <w:fldChar w:fldCharType="separate"/>
      </w:r>
      <w:r w:rsidRPr="0009119E">
        <w:rPr>
          <w:vertAlign w:val="superscript"/>
        </w:rPr>
        <w:t>7</w:t>
      </w:r>
      <w:r w:rsidRPr="0009119E">
        <w:fldChar w:fldCharType="end"/>
      </w:r>
      <w:r w:rsidRPr="0009119E">
        <w:rPr>
          <w:bCs/>
          <w:iCs/>
        </w:rPr>
        <w:t xml:space="preserve"> while</w:t>
      </w:r>
      <w:r w:rsidRPr="0009119E">
        <w:rPr>
          <w:bCs/>
        </w:rPr>
        <w:t xml:space="preserve"> </w:t>
      </w:r>
      <w:r w:rsidRPr="0009119E">
        <w:t xml:space="preserve">GDM diagnosis generally happens at </w:t>
      </w:r>
      <w:r w:rsidRPr="0009119E">
        <w:rPr>
          <w:iCs/>
        </w:rPr>
        <w:t>24–28 weeks of gestation</w:t>
      </w:r>
      <w:r w:rsidRPr="0009119E">
        <w:t>.</w:t>
      </w:r>
      <w:r w:rsidRPr="0009119E">
        <w:fldChar w:fldCharType="begin"/>
      </w:r>
      <w:r w:rsidRPr="0009119E">
        <w:instrText xml:space="preserve"> ADDIN ZOTERO_ITEM CSL_CITATION {"citationID":"fdtbSWiG","properties":{"formattedCitation":"\\super 8\\nosupersub{}","plainCitation":"8","noteIndex":0},"citationItems":[{"id":"rWXnUXcb/nxPH91yu","uris":["http://zotero.org/users/6694618/items/LHCPFXJ6"],"itemData":{"id":1584,"type":"article-journal","abstract":"Gestational diabetes mellitus (GDM) is one of the most common medical complications of pregnancy. However, debate continues to surround the diagnosis and treatment of GDM despite several recent large-scale studies addressing these issues. The purposes of this document are the following: 1) provide a brief overview of the understanding of GDM, 2) review management guidelines that have been validated by appropriately conducted clinical research, and 3) identify gaps in current knowledge toward which future research can be directed.","container-title":"Obstetrics and Gynecology","DOI":"10.1097/AOG.0000000000002501","ISSN":"0029-7844","issue":"2","page":"E49-E64","source":"Oregon Health &amp; Science University","title":"ACOG PRACTICE BULLETIN: Gestational Diabetes Mellitus","title-short":"ACOG PRACTICE BULLETIN","volume":"131","author":[{"family":"Caughey","given":"Aaron B."},{"family":"Turrentine","given":"Mark"}],"issued":{"date-parts":[["2018"]]}}}],"schema":"https://github.com/citation-style-language/schema/raw/master/csl-citation.json"} </w:instrText>
      </w:r>
      <w:r w:rsidRPr="0009119E">
        <w:fldChar w:fldCharType="separate"/>
      </w:r>
      <w:r w:rsidRPr="0009119E">
        <w:rPr>
          <w:vertAlign w:val="superscript"/>
        </w:rPr>
        <w:t>8</w:t>
      </w:r>
      <w:r w:rsidRPr="0009119E">
        <w:fldChar w:fldCharType="end"/>
      </w:r>
      <w:r w:rsidRPr="0009119E">
        <w:t xml:space="preserve"> Diagnostic tests for HDP and GDM are based on abnormally high BP and glucose values along with additional criteria. Unfortunately, current guidelines identify HDP and GDM after these conditions have already developed, limiting opportunities for primary prevention and potentially exposing pregnant patients and their offspring to preventable hazards. Furthermore, current diagnostic methods capture only a few snapshots of BP and glycemia which provide limited information on modifiable bio-behavioral risk factors (physical activity, BP variations, diet-associated glycemia) contributing to the development of HDP and GDM.</w:t>
      </w:r>
    </w:p>
    <w:p w14:paraId="14432826" w14:textId="77777777" w:rsidR="003562FC" w:rsidRPr="0009119E" w:rsidRDefault="003562FC" w:rsidP="003562FC"/>
    <w:p w14:paraId="6F6808C7" w14:textId="77777777" w:rsidR="003562FC" w:rsidRDefault="00000000" w:rsidP="003562FC">
      <w:r w:rsidRPr="0009119E">
        <w:rPr>
          <w:b/>
          <w:u w:val="single"/>
        </w:rPr>
        <w:t>Significance</w:t>
      </w:r>
      <w:r w:rsidRPr="0009119E">
        <w:t>: Several recent studies in pregnant women have used wearable devices such as CGM</w:t>
      </w:r>
      <w:r w:rsidRPr="0009119E">
        <w:fldChar w:fldCharType="begin"/>
      </w:r>
      <w:r w:rsidRPr="0009119E">
        <w:instrText xml:space="preserve"> ADDIN ZOTERO_ITEM CSL_CITATION {"citationID":"wiomZ9yB","properties":{"formattedCitation":"\\super 9,10\\nosupersub{}","plainCitation":"9,10","noteIndex":0},"citationItems":[{"id":"rWXnUXcb/avJx608Q","uris":["http://zotero.org/users/6694618/items/RN4UI6HP"],"itemData":{"id":1622,"type":"article-journal","abstract":"Clinical evidence on the consequential effects of continuous glucose monitoring (CGM) on pregnancy outcomes in women with gestational diabetes mellitus (GDM) is scarcely available.Our objective was to evaluate the effectiveness of CGM on maternal glycemic control and pregnancy outcomes in patients with GDM .In total, 340 Chinese pregnant women with GDM were allocated to either the routine care group (n = 190) or the CGM group (n =150).This was a prospective cohort study in the Department of Obstetrics of GuangDong Women and Children Hospital in China. Recruitment started in April 2011 and stopped in August 2012.A 72-hour CGM system was used as a supplementary tool for glucose monitoring in the CGM group.The parameters of glycemic variability included mean blood glucose, the SD of blood glucose, mean amplitude of glycemic excursions (MAGEs), and the mean of daily differences. The maternal outcomes (preeclampsia and cesarean delivery) and composite neonatal outcomes were analyzed.The SD of blood glucose, MAGEs, and mean of daily differences values were significantly lower in the CGM group compared with those of the routine care group (P &amp;lt; .001). Subjects in the CGM group were at lower risk of preeclampsia and primary cesarean delivery compared with the routine care group (P &amp;lt; .05). The mean infant birth weight of women in the CGM group was lower than infants of women in the routine care group (P &amp;lt; .001). The MAGE was associated with birth weight (β = 0.196, P &amp;lt; .001), and it was an independent factor for preeclampsia (odds ratio, 3.66; 95% confidence interval 2.16–6.20) and composite neonatal outcome (odds ratio, 1.34; 95% confidence interval 1.01–1.77).The use of supplementary CGM combined with routine antenatal care can improve the glycemic control and pregnancy outcomes of patients with GDM.","container-title":"The Journal of Clinical Endocrinology &amp; Metabolism","DOI":"10.1210/jc.2013-4332","ISSN":"0021-972X","issue":"12","journalAbbreviation":"The Journal of Clinical Endocrinology &amp; Metabolism","page":"4674-4682","source":"Silverchair","title":"Continuous Glucose Monitoring Effects on Maternal Glycemic Control and Pregnancy Outcomes in Patients With Gestational Diabetes Mellitus: A Prospective Cohort Study","title-short":"Continuous Glucose Monitoring Effects on Maternal Glycemic Control and Pregnancy Outcomes in Patients With Gestational Diabetes Mellitus","volume":"99","author":[{"family":"Yu","given":"Fan"},{"family":"Lv","given":"Lijuan"},{"family":"Liang","given":"Zhijiang"},{"family":"Wang","given":"Yi"},{"family":"Wen","given":"Jiying"},{"family":"Lin","given":"Xiaohong"},{"family":"Zhou","given":"Yuheng"},{"family":"Mai","given":"Caiyuan"},{"family":"Niu","given":"Jianmin"}],"issued":{"date-parts":[["2014",12,1]]}}},{"id":"rWXnUXcb/IgeO5KjG","uris":["http://zotero.org/users/6694618/items/U7MRFWU8"],"itemData":{"id":1657,"type":"article-journal","abstract":"Aims This systematic review aims to evaluate the effect of continuous glucose monitoring (CGM) on maternal and neonatal outcomes in gestational diabetes mellitus (GDM). Methods Two authors conducted a systematic search using PubMed, Embase, CENTRAL, CINAHL, Scopus, Web of Science, ClinicalTrials.gov and the World Health Organization International Clinical Trials Registry Platform. The inclusion criteria for the systematic review were randomized clinical trials that compared the effects of CGM and blood glucose monitoring (BGM) in women with GDM. A restricted maximum likelihood random-effects model was used for the meta-analysis. The measures of effect were risk ratios for categorical data and mean differences for continuous data. Results Of the 457 studies reviewed, six randomized clinical trials met the inclusion criteria. A total of 482 patients were included in the meta-analysis. The use of CGM was associated with lower HbA1c levels at the end of pregnancy (mean difference: −0.22; 95%CI −0.42 to −0.03) compared to BGM. Women using CGM also had less gestational weight gain (mean difference: −1.17, 95%CI −2.15 to −0.19), and their children had lower birth weight (mean difference: −116.26, 95%CI −224.70 to −7.81). No differences were observed in the other outcomes evaluated. Conclusion Women with GDM using CGM may achieve lower average blood glucose levels, lower maternal weight gain and infant birth weight than women using BGM. Nevertheless, current evidence is limited by the low number of studies and the small sample sizes of these studies. Larger clinical trials are needed to better understand the effects of CGM in GDM. Registration PROSPERO registration ID CRD42021225651.","container-title":"Diabetic Medicine","DOI":"10.1111/dme.14703","ISSN":"1464-5491","issue":"1","language":"en","note":"_eprint: https://onlinelibrary.wiley.com/doi/pdf/10.1111/dme.14703","page":"e14703","source":"Wiley Online Library","title":"Efficacy of continuous glucose monitoring on maternal and neonatal outcomes in gestational diabetes mellitus: a systematic review and meta-analysis of randomized clinical trials","title-short":"Efficacy of continuous glucose monitoring on maternal and neonatal outcomes in gestational diabetes mellitus","volume":"39","author":[{"family":"García-Moreno","given":"Rosa M."},{"family":"Benítez-Valderrama","given":"Pamela"},{"family":"Barquiel","given":"Beatriz"},{"family":"González Pérez-de-Villar","given":"Noemí"},{"family":"Hillman","given":"Natalia"},{"family":"Lora Pablos","given":"David"},{"family":"Herranz","given":"Lucrecia"}],"issued":{"date-parts":[["2022"]]}}}],"schema":"https://github.com/citation-style-language/schema/raw/master/csl-citation.json"} </w:instrText>
      </w:r>
      <w:r w:rsidRPr="0009119E">
        <w:fldChar w:fldCharType="separate"/>
      </w:r>
      <w:r w:rsidRPr="0009119E">
        <w:rPr>
          <w:vertAlign w:val="superscript"/>
        </w:rPr>
        <w:t>9,10</w:t>
      </w:r>
      <w:r w:rsidRPr="0009119E">
        <w:fldChar w:fldCharType="end"/>
      </w:r>
      <w:r w:rsidRPr="0009119E">
        <w:t>, accelerometry</w:t>
      </w:r>
      <w:r w:rsidRPr="0009119E">
        <w:fldChar w:fldCharType="begin"/>
      </w:r>
      <w:r w:rsidRPr="0009119E">
        <w:instrText xml:space="preserve"> ADDIN ZOTERO_ITEM CSL_CITATION {"citationID":"ZsRcdduH","properties":{"formattedCitation":"\\super 11,12\\nosupersub{}","plainCitation":"11,12","noteIndex":0},"citationItems":[{"id":"rWXnUXcb/g1UfUgr8","uris":["http://zotero.org/users/6694618/items/9ASIMYQM"],"itemData":{"id":1661,"type":"article-journal","abstract":"Background: Physical activity (PA) during pregnancy is associated with several benefits in maternal and child outcomes, and its relationship with preterm birth is still conflicting. This study aims to examine the associations between PA during pregnancy and occurrence of preterm birth. Methods: PA was assessed by questionnaire (for each trimester) and accelerometry (second trimester) in women enrolled in a birth cohort study that started during pregnancy and included births that occurred between January 1 and December 31, 2015. Gestational age was based on the last menstrual period and ultrasonography. All deliveries before 37 weeks of gestation were considered preterm births. A Poisson regression model was used to measure associations controlling for potential confounders. Results: PA information was available for 4163 women and 13.8% of births were preterm. A total of 15.8% of women were engaged in PA during pregnancy. Multivariate analysis showed that only PA performed in the third trimester of pregnancy (prevalence ratio = 0.58; 95% confidence interval, 0.36–0.96) was associated with the outcome. Conclusions: PA performed in the third trimester of pregnancy was associated with a protection to preterm birth. Pregnant women should be counseled to engage in PA to lower the risk of premature delivery.","container-title":"Journal of Physical Activity and Health","DOI":"10.1123/jpah.2019-0604","ISSN":"1543-5474, 1543-3080","issue":"11","language":"en_US","note":"publisher: Human Kinetics\nsection: Journal of Physical Activity and Health","page":"1065-1074","source":"journals.humankinetics.com","title":"Physical Activity During Pregnancy and Preterm Birth: Findings From the 2015 Pelotas (Brazil) Birth Cohort Study","title-short":"Physical Activity During Pregnancy and Preterm Birth","volume":"17","author":[{"family":"Müller","given":"Werner de Andrade"},{"family":"Mielke","given":"Grégore Iven"},{"family":"Silva","given":"Inácio Crochemore M.","dropping-particle":"da"},{"family":"Silveira","given":"Mariangela F."},{"family":"Domingues","given":"Marlos Rodrigues"}],"issued":{"date-parts":[["2020",9,17]]}}},{"id":"rWXnUXcb/pwh9pG5N","uris":["http://zotero.org/users/6694618/items/FJPXLDT2"],"itemData":{"id":1662,"type":"article-journal","abstract":"Objectives\nIncreased physical activity in pregnancy may reduce the risk of gestational diabetes and pre-eclampsia, which occur more commonly in overweight and obese women. There is limited assessment of physical activity questionnaires in pregnancy. This study compares self-reported physical activity using two questionnaire methods with objectively recorded physical activity using accelerometry in overweight and obese pregnant women.\nStudy design\n59 women with booking BMI≥25kg/m2 completed the Recent Physical Activity Questionnaire (RPAQ) and Australian Women's Activity Survey (AWAS) or recorded at least 3 days of accelerometry at median 12 weeks’ gestation. Accelerometer thresholds of 100counts/min and 1952counts/min were used to define light and moderate or vigorous physical activity (MVPA) respectively.\nResults\n48% of women were in their first pregnancy and 41% were obese. Median daily self-reported MVPA was significantly higher for both AWAS (127min, p&lt;0.001) and RPAQ (81min, p&lt;0.001) than that recorded by accelerometer (35min). There was low or moderate correlation between questionnaire and accelerometer estimates of total active time (AWAS ρ=0.36, p=0.008; RPAQ ρ=0.53, p&lt;0.001) but no significant correlation between estimates of time spent in MVPA.\nConclusions\nThese self-report questionnaires over-estimated MVPA and showed poor ability to discriminate women on the basis of MVPA. Accelerometry measurement was feasible and acceptable. Objective methods should be used where possible in studies measuring physical activity in pregnancy. Questionnaires remain valuable to define types of activity.","container-title":"European Journal of Obstetrics &amp; Gynecology and Reproductive Biology","DOI":"10.1016/j.ejogrb.2013.05.018","ISSN":"0301-2115","issue":"1","journalAbbreviation":"European Journal of Obstetrics &amp; Gynecology and Reproductive Biology","language":"en","page":"90-95","source":"ScienceDirect","title":"Measuring physical activity in pregnancy: a comparison of accelerometry and self-completion questionnaires in overweight and obese women","title-short":"Measuring physical activity in pregnancy","volume":"170","author":[{"family":"Bell","given":"Ruth"},{"family":"Tennant","given":"Peter W. G."},{"family":"McParlin","given":"Catherine"},{"family":"Pearce","given":"Mark S."},{"family":"Adamson","given":"Ashley J."},{"family":"Rankin","given":"Judith"},{"family":"Robson","given":"Stephen C."}],"issued":{"date-parts":[["2013",9,1]]}}}],"schema":"https://github.com/citation-style-language/schema/raw/master/csl-citation.json"} </w:instrText>
      </w:r>
      <w:r w:rsidRPr="0009119E">
        <w:fldChar w:fldCharType="separate"/>
      </w:r>
      <w:r w:rsidRPr="0009119E">
        <w:rPr>
          <w:vertAlign w:val="superscript"/>
        </w:rPr>
        <w:t>11,12</w:t>
      </w:r>
      <w:r w:rsidRPr="0009119E">
        <w:fldChar w:fldCharType="end"/>
      </w:r>
      <w:r w:rsidRPr="0009119E">
        <w:t>, and ambulatory blood pressure monitoring (ABPM)</w:t>
      </w:r>
      <w:r w:rsidRPr="0009119E">
        <w:fldChar w:fldCharType="begin"/>
      </w:r>
      <w:r w:rsidRPr="0009119E">
        <w:instrText xml:space="preserve"> ADDIN ZOTERO_ITEM CSL_CITATION {"citationID":"vkg8iOmx","properties":{"formattedCitation":"\\super 13,14\\nosupersub{}","plainCitation":"13,14","noteIndex":0},"citationItems":[{"id":"rWXnUXcb/jZeZ13MQ","uris":["http://zotero.org/users/6694618/items/9PYRPLFT"],"itemData":{"id":1664,"type":"article-journal","abstract":"Hypertension disorders during pregnancy has a wide range of severities, from a mild clinical condition to a life-threatening one. Currently, office BP is still the main method for the diagnosis of hypertension during pregnancy. Despite of the limitation these measurements, in clinical practice office BP of 140/90 mmHg cut point is used to simplify diagnosis and treatment decisions. The out-of-office BP evaluations are it comes to discarding white-coat hypertension with little utility in practice to rule out masked hypertension and nocturnal hypertension. In this revision, we analyzed the current evidence of the role of ABPM in diagnosing and managing pregnant women. ABPM has a defined role in the evaluation of BP levels in pregnant women, being appropriate performing an ABPM to classification of HDP before 20 weeks of gestation and second ABMP performed between 20–30 weeks of gestation to detected of women with a high risk of development of PE. Furthermore, we propose to, discarding white-coat hypertension and detecting masked chronic hypertension in pregnant women with office BP &gt; 125/75 mmHg. Finally, in women who had PE, a third ABPM in the post-partum period could identify those with higher long-term cardiovascular risk related with masked hypertension.","container-title":"Diagnostics","DOI":"10.3390/diagnostics13081457","ISSN":"2075-4418","issue":"8","language":"en","license":"http://creativecommons.org/licenses/by/3.0/","note":"number: 8\npublisher: Multidisciplinary Digital Publishing Institute","page":"1457","source":"www.mdpi.com","title":"Ambulatory Blood Pressure Monitoring for Diagnosis and Management of Hypertension in Pregnant Women","volume":"13","author":[{"family":"Espeche","given":"Walter G."},{"family":"Salazar","given":"Martin R."}],"issued":{"date-parts":[["2023",1]]}}},{"id":"rWXnUXcb/c7vsMpdm","uris":["http://zotero.org/users/6694618/items/VKXHANTE"],"itemData":{"id":1666,"type":"article-journal","abstract":"Objectives: \n          To determine if there is an office blood pressure (BP) value below which out-of-office measurements are unnecessary in high-risk pregnant women.\n          Methods: \n          We conducted a prospective cohort study in women in the second half of high-risk pregnancies. Office BP measurements and ambulatory blood pressure monitoring (ABPM) was performed. The cohort was divided according to quartiles of office BP and in normotension, white-coat hypertension, masked hypertension and sustained hypertension. The risks for preeclampsia/eclampsia for each category were estimated.\n          Results: \n          Three hundred seventy-three women (30 ± 7 years with 32 ± 4 weeks of gestation) were included; 69 women (18.5%) developed preeclampsia/eclampsia. Risk for preeclampsia/eclampsia increased in a stepwise manner through quartiles of systolic office BP (8.8, 13.4, 19.6 and 32.3%, P &lt; 0.001) and diastolic office BP (6.5, 13.7, 19.6 and 34,4%, P &lt; 0.001). OR increased significantly through quartiles of systolic (P = 0.004) and diastolic (P &lt; 0.001) office BP; the significance becomes evident between the second and third quartile, the cut-off point between these was 125/76 mmHg. Prevalence of white-coat and masked hypertension were 3.8 and 24.7%, respectively. Using ABPM, 14/61 office hypertensive women were reclassified as white-coat hypertension but 92/312 normotensive women as masked hypertension. OR for preeclampsia/eclampsia increased significantly in women with masked hypertension. Absolute risk for preeclampsia/eclampsia in women with office BP less than 125/75 mmHg was similar than that in women with normal ABPM, 7.2 and 7.1%, respectively.\n          Conclusion: \n          Masked hypertension was a prevalent and high-risk condition. Office BP at least 125/75 mmHg in the second half of gestation seems appropriate to indicate out-of-office measurements in high-risk pregnancies.","container-title":"Journal of Hypertension","DOI":"10.1097/HJH.0000000000002140","ISSN":"0263-6352","issue":"9","language":"en-US","page":"1838","source":"journals.lww.com","title":"Office blood pressure values and the necessity of out-of-office measurements in high-risk pregnancies","volume":"37","author":[{"family":"Salazar","given":"Martin R."},{"family":"Espeche","given":"Walter G."},{"family":"Balbín","given":"Eduardo"},{"family":"Leiva Sisnieguez","given":"Carlos E."},{"family":"Leiva Sisnieguez","given":"Betty C."},{"family":"Stavile","given":"Rodolfo N."},{"family":"March","given":"Carlos"},{"family":"Olano","given":"Ricardo D."},{"family":"Soria","given":"Adelaida"},{"family":"Yoma","given":"Osvaldo"},{"family":"Prudente","given":"Marcelo"},{"family":"Torres","given":"Soledad"},{"family":"Grassi","given":"Florencia"},{"family":"Santillan","given":"Claudia"},{"family":"Carrera Ramos","given":"Patricia"},{"family":"Carbajal","given":"Horacio A."}],"issued":{"date-parts":[["2019",9]]}}}],"schema":"https://github.com/citation-style-language/schema/raw/master/csl-citation.json"} </w:instrText>
      </w:r>
      <w:r w:rsidRPr="0009119E">
        <w:fldChar w:fldCharType="separate"/>
      </w:r>
      <w:r w:rsidRPr="0009119E">
        <w:rPr>
          <w:vertAlign w:val="superscript"/>
        </w:rPr>
        <w:t>13,14</w:t>
      </w:r>
      <w:r w:rsidRPr="0009119E">
        <w:fldChar w:fldCharType="end"/>
      </w:r>
      <w:r w:rsidRPr="0009119E">
        <w:t xml:space="preserve"> to monitor glucose, PA, and BP respectively. However, to our knowledge, no studies have used multiple wearables throughout pregnancy and applied AI methods to wearable data for early identification of HDP and GDM risk.</w:t>
      </w:r>
    </w:p>
    <w:p w14:paraId="0525A55F" w14:textId="77777777" w:rsidR="003562FC" w:rsidRPr="0009119E" w:rsidRDefault="003562FC" w:rsidP="003562FC"/>
    <w:p w14:paraId="1045D05B" w14:textId="77777777" w:rsidR="003562FC" w:rsidRPr="0009119E" w:rsidRDefault="00000000" w:rsidP="003562FC">
      <w:pPr>
        <w:pStyle w:val="Heading2"/>
        <w:spacing w:before="0" w:after="0"/>
        <w:rPr>
          <w:rFonts w:cs="Arial"/>
          <w:szCs w:val="20"/>
        </w:rPr>
      </w:pPr>
      <w:bookmarkStart w:id="12" w:name="_Toc10"/>
      <w:r w:rsidRPr="0009119E">
        <w:rPr>
          <w:rFonts w:cs="Arial"/>
          <w:szCs w:val="20"/>
        </w:rPr>
        <w:t>3.2 Purpose of Study/Potential Impact</w:t>
      </w:r>
      <w:bookmarkEnd w:id="12"/>
    </w:p>
    <w:p w14:paraId="6156F84A" w14:textId="77777777" w:rsidR="003562FC" w:rsidRDefault="00000000" w:rsidP="003562FC">
      <w:r w:rsidRPr="0009119E">
        <w:rPr>
          <w:b/>
          <w:u w:val="single"/>
        </w:rPr>
        <w:t>Study purpose</w:t>
      </w:r>
      <w:r w:rsidRPr="0009119E">
        <w:t>: The proposed Digi-Moms project aims to assess the feasibility of leveraging wearable technology and artificial intelligence (AI) to discover digital signatures predictive of HDP and GDM risk, enabling earlier detection and personalized management. To do this, we will conduct a prospective cohort study in 40 pregnant individuals to assess the feasibility of wearing a CGM and an actigraphy monitor for up to two weeks at five different timepoints in pregnancy. We will compute multiple validated feasibility metrics for each device throughout pregnancy.</w:t>
      </w:r>
    </w:p>
    <w:p w14:paraId="608028CA" w14:textId="77777777" w:rsidR="003562FC" w:rsidRPr="0009119E" w:rsidRDefault="003562FC" w:rsidP="003562FC"/>
    <w:p w14:paraId="2FA9BB87" w14:textId="77777777" w:rsidR="003562FC" w:rsidRDefault="00000000" w:rsidP="003562FC">
      <w:r w:rsidRPr="0009119E">
        <w:rPr>
          <w:b/>
          <w:u w:val="single"/>
        </w:rPr>
        <w:t>Potential impact</w:t>
      </w:r>
      <w:r w:rsidRPr="0009119E">
        <w:t xml:space="preserve">: The proposed project will provide valuable preliminary data on feasibility of wearing multiple devices and on trajectories of key bio-behavioral parameters over pregnancy, providing a basis for larger future studies to identify wearables and AI-based digital biomarkers of HDP and GDM. </w:t>
      </w:r>
    </w:p>
    <w:p w14:paraId="1D8C0456" w14:textId="77777777" w:rsidR="003562FC" w:rsidRPr="0009119E" w:rsidRDefault="003562FC" w:rsidP="003562FC"/>
    <w:p w14:paraId="1F8F0600" w14:textId="77777777" w:rsidR="003562FC" w:rsidRPr="0009119E" w:rsidRDefault="00000000" w:rsidP="003562FC">
      <w:pPr>
        <w:pStyle w:val="Heading2"/>
        <w:spacing w:before="0" w:after="0"/>
        <w:rPr>
          <w:rFonts w:cs="Arial"/>
          <w:szCs w:val="20"/>
        </w:rPr>
      </w:pPr>
      <w:bookmarkStart w:id="13" w:name="_Toc11"/>
      <w:r w:rsidRPr="0009119E">
        <w:rPr>
          <w:rFonts w:cs="Arial"/>
          <w:szCs w:val="20"/>
        </w:rPr>
        <w:t>3.3 Potential Risks and Benefits</w:t>
      </w:r>
      <w:bookmarkEnd w:id="13"/>
    </w:p>
    <w:p w14:paraId="4CE5EEAA" w14:textId="77777777" w:rsidR="003562FC" w:rsidRPr="0009119E" w:rsidRDefault="00000000" w:rsidP="003562FC">
      <w:pPr>
        <w:pStyle w:val="Heading3"/>
        <w:spacing w:before="0" w:after="0"/>
        <w:rPr>
          <w:szCs w:val="20"/>
        </w:rPr>
      </w:pPr>
      <w:bookmarkStart w:id="14" w:name="_Toc12"/>
      <w:r w:rsidRPr="0009119E">
        <w:rPr>
          <w:szCs w:val="20"/>
        </w:rPr>
        <w:t>3.3.1 Potential Risks</w:t>
      </w:r>
      <w:bookmarkEnd w:id="14"/>
    </w:p>
    <w:p w14:paraId="2C01C03B" w14:textId="77777777" w:rsidR="003562FC" w:rsidRDefault="00000000" w:rsidP="003562FC">
      <w:r w:rsidRPr="0009119E">
        <w:rPr>
          <w:u w:val="single"/>
        </w:rPr>
        <w:t xml:space="preserve">Risks of wearing a continuous glucose monitor (GCM): </w:t>
      </w:r>
      <w:r w:rsidRPr="0009119E">
        <w:t xml:space="preserve">There are mild to moderate symptoms associated with the monitor application or the adhesive wipe used to keep the monitor in place. These include reddening of the skin, swelling, rash, itching, bruising, pain, bleeding or other discomfort. Infection, inflammation, or bleeding at the monitor insertion site are possible risks. It is rare that participants will require treatment other than over-the-counter treatment. In some cases, a very small piece of the monitor may remain underneath the skin after the monitor is removed. This poses no health or safety risk to the participant and will dissolve on its own. To reduce these risks, a study team member will supervise the attachment of the </w:t>
      </w:r>
      <w:r w:rsidR="00D52614" w:rsidRPr="0009119E">
        <w:t>devices and</w:t>
      </w:r>
      <w:r w:rsidRPr="0009119E">
        <w:t xml:space="preserve"> provide the necessary instruction should any symptoms occur. </w:t>
      </w:r>
      <w:r w:rsidR="00D52614">
        <w:t xml:space="preserve">Devices will be applied in-person for their initial application during Study Visit #1, and either in-person or via video call for subsequent study visits, </w:t>
      </w:r>
      <w:r w:rsidRPr="0009119E">
        <w:rPr>
          <w:u w:val="single"/>
        </w:rPr>
        <w:t>Continuous glucose monitor</w:t>
      </w:r>
      <w:r w:rsidR="00D52614">
        <w:rPr>
          <w:u w:val="single"/>
        </w:rPr>
        <w:t>ing</w:t>
      </w:r>
      <w:r w:rsidRPr="0009119E">
        <w:rPr>
          <w:u w:val="single"/>
        </w:rPr>
        <w:t xml:space="preserve"> has also been FDA cleared </w:t>
      </w:r>
      <w:r w:rsidRPr="0009119E">
        <w:rPr>
          <w:u w:val="single"/>
        </w:rPr>
        <w:lastRenderedPageBreak/>
        <w:t>for used in pregnancy with an established safety profile.</w:t>
      </w:r>
      <w:r w:rsidRPr="0009119E">
        <w:t xml:space="preserve"> Please see the protocol appendix for pregnant persons for further details regarding the research supporting the use of the two devices in pregnant subjects.</w:t>
      </w:r>
    </w:p>
    <w:p w14:paraId="5A38746B" w14:textId="77777777" w:rsidR="003562FC" w:rsidRPr="0009119E" w:rsidRDefault="003562FC" w:rsidP="003562FC"/>
    <w:p w14:paraId="42D716AC" w14:textId="77777777" w:rsidR="003562FC" w:rsidRDefault="00000000" w:rsidP="003562FC">
      <w:r w:rsidRPr="0009119E">
        <w:t>Monitoring these risks will follow clinical care guidance for monitoring associated with continuous glucose monitoring to minimize the risks to participants. This includes the above, where the study team member will supervise the attachment of the device with the participant. This level of monitoring for the study is sufficient as continuous glucose monitoring devices are safe and effective tools that are routinely used in the clinical and outpatient setting.</w:t>
      </w:r>
    </w:p>
    <w:p w14:paraId="508D8A3E" w14:textId="77777777" w:rsidR="003562FC" w:rsidRPr="0009119E" w:rsidRDefault="003562FC" w:rsidP="003562FC"/>
    <w:p w14:paraId="60FD4A7B" w14:textId="77777777" w:rsidR="003562FC" w:rsidRDefault="00000000" w:rsidP="003562FC">
      <w:r w:rsidRPr="0009119E">
        <w:rPr>
          <w:u w:val="single"/>
        </w:rPr>
        <w:t>Risks of wearing an actigraphy monitor</w:t>
      </w:r>
      <w:r w:rsidRPr="0009119E">
        <w:t>: There is a small possibility of minor skin irritation associated with wearing an actigraphy monitor. To minimize this risk, a study team member will inform the patient that they should not wear these devices too tightly and keep them clean and dry.</w:t>
      </w:r>
    </w:p>
    <w:p w14:paraId="701F4857" w14:textId="77777777" w:rsidR="003562FC" w:rsidRPr="0009119E" w:rsidRDefault="003562FC" w:rsidP="003562FC"/>
    <w:p w14:paraId="7B2734E0" w14:textId="77777777" w:rsidR="003562FC" w:rsidRPr="0009119E" w:rsidRDefault="00000000" w:rsidP="003562FC">
      <w:r w:rsidRPr="0009119E">
        <w:rPr>
          <w:u w:val="single"/>
        </w:rPr>
        <w:t xml:space="preserve">Risks from Breach of Confidentiality of Data: </w:t>
      </w:r>
      <w:r w:rsidRPr="0009119E">
        <w:t>As part of this study, personal health information and identifiable information from patients' medical records in EPIC will be collected and recorded. As with any study involving the collection of data, there is always the possibility of breach of confidentiality of data. For some patients, the release of medical records and/or breach of confidentiality of data may pose social, economic or psychological risks. All personal health and identifiable information will only be kept in secured databases, specifically in REDCap and on an MCIT-issued shared drive, with both databases having access restricted to only IRB approved members of the study team. Any paper consents will be kept in a locked cabinet in a secured office. As part of this study, de-identified biometric data is collected from the digital devices and will sync to a cloud server provided by the vendor before being accessible for download to the study team. The vendors would have access to this data; however, there is no identifiable patient information or personal health information on the devices or accessible to the vendor.</w:t>
      </w:r>
    </w:p>
    <w:p w14:paraId="2A247E92" w14:textId="77777777" w:rsidR="003562FC" w:rsidRDefault="003562FC" w:rsidP="003562FC"/>
    <w:p w14:paraId="551870FE" w14:textId="77777777" w:rsidR="003562FC" w:rsidRPr="0009119E" w:rsidRDefault="00000000" w:rsidP="003562FC">
      <w:r w:rsidRPr="0009119E">
        <w:t>To protect against these risks of unauthorized access to medical records and/or breach of confidentiality of data, the following steps will be taken:</w:t>
      </w:r>
    </w:p>
    <w:p w14:paraId="25B3A4D4" w14:textId="77777777" w:rsidR="003562FC" w:rsidRPr="0009119E" w:rsidRDefault="00000000" w:rsidP="003562FC">
      <w:pPr>
        <w:numPr>
          <w:ilvl w:val="0"/>
          <w:numId w:val="2"/>
        </w:numPr>
      </w:pPr>
      <w:r w:rsidRPr="0009119E">
        <w:t>Patients are registered with the devices using only a unique code, and the link between the unique code and identifiable patient information or personal health information is kept in a secured REDCap project with restricted access to IRB approved members of the study team.</w:t>
      </w:r>
    </w:p>
    <w:p w14:paraId="77C729B6" w14:textId="77777777" w:rsidR="003562FC" w:rsidRPr="0009119E" w:rsidRDefault="00000000" w:rsidP="003562FC">
      <w:pPr>
        <w:numPr>
          <w:ilvl w:val="0"/>
          <w:numId w:val="2"/>
        </w:numPr>
      </w:pPr>
      <w:r w:rsidRPr="0009119E">
        <w:t>No biometric data is visible to the participant or anyone who has the device, as the data on the device can only be accessed through a secure vendor software</w:t>
      </w:r>
    </w:p>
    <w:p w14:paraId="2E981D02" w14:textId="77777777" w:rsidR="003562FC" w:rsidRPr="0009119E" w:rsidRDefault="00000000" w:rsidP="003562FC">
      <w:pPr>
        <w:numPr>
          <w:ilvl w:val="0"/>
          <w:numId w:val="2"/>
        </w:numPr>
      </w:pPr>
      <w:r w:rsidRPr="0009119E">
        <w:t>All data downloaded from the vendor software will be downloaded to an MCIT issued computer and stored in a secured shared drive with access restricted to IRB approved members of the study team</w:t>
      </w:r>
    </w:p>
    <w:p w14:paraId="1C9DB32A" w14:textId="77777777" w:rsidR="003562FC" w:rsidRPr="0009119E" w:rsidRDefault="00000000" w:rsidP="003562FC">
      <w:pPr>
        <w:numPr>
          <w:ilvl w:val="0"/>
          <w:numId w:val="2"/>
        </w:numPr>
      </w:pPr>
      <w:r w:rsidRPr="0009119E">
        <w:t>The vendor has no access to identifiable patient information or personal health information</w:t>
      </w:r>
    </w:p>
    <w:p w14:paraId="68EF1923" w14:textId="77777777" w:rsidR="003562FC" w:rsidRDefault="00000000" w:rsidP="003562FC">
      <w:pPr>
        <w:numPr>
          <w:ilvl w:val="0"/>
          <w:numId w:val="2"/>
        </w:numPr>
      </w:pPr>
      <w:r w:rsidRPr="0009119E">
        <w:t>No patients will be identified by any identifiable information in any publications or public documents</w:t>
      </w:r>
    </w:p>
    <w:p w14:paraId="37A44D79" w14:textId="77777777" w:rsidR="003562FC" w:rsidRPr="0009119E" w:rsidRDefault="003562FC" w:rsidP="003562FC">
      <w:pPr>
        <w:ind w:left="360"/>
      </w:pPr>
    </w:p>
    <w:p w14:paraId="353CFB2A" w14:textId="77777777" w:rsidR="003562FC" w:rsidRPr="0009119E" w:rsidRDefault="00000000" w:rsidP="003562FC">
      <w:pPr>
        <w:pStyle w:val="Heading3"/>
        <w:spacing w:before="0" w:after="0"/>
        <w:rPr>
          <w:szCs w:val="20"/>
        </w:rPr>
      </w:pPr>
      <w:bookmarkStart w:id="15" w:name="_Toc13"/>
      <w:r w:rsidRPr="0009119E">
        <w:rPr>
          <w:szCs w:val="20"/>
        </w:rPr>
        <w:t>3.3.2 Potential Benefits</w:t>
      </w:r>
      <w:bookmarkEnd w:id="15"/>
    </w:p>
    <w:p w14:paraId="7F7C5CC9" w14:textId="77777777" w:rsidR="003562FC" w:rsidRDefault="00000000" w:rsidP="003562FC">
      <w:r w:rsidRPr="0009119E">
        <w:t>There are no direct benefits to patients for taking part in this study. However, the data collected from the digital devices will provide detailed insights into glucose and blood pressure patterns in pregnancy, in particular those associated with development of HDP or GDM. If successful, remote monitoring via digital devices can help pregnant individuals, their physicians, and others involved in their care monitor their diet, exercise, and medication regimens better, leading to improved pregnancy and overall health outcomes.</w:t>
      </w:r>
    </w:p>
    <w:p w14:paraId="610085C0" w14:textId="77777777" w:rsidR="003562FC" w:rsidRPr="0009119E" w:rsidRDefault="003562FC" w:rsidP="003562FC"/>
    <w:p w14:paraId="6C1804F8" w14:textId="77777777" w:rsidR="003562FC" w:rsidRPr="0009119E" w:rsidRDefault="00000000" w:rsidP="003562FC">
      <w:pPr>
        <w:pStyle w:val="Heading1"/>
        <w:spacing w:after="0"/>
        <w:rPr>
          <w:rFonts w:cs="Arial"/>
          <w:sz w:val="20"/>
          <w:szCs w:val="20"/>
        </w:rPr>
      </w:pPr>
      <w:bookmarkStart w:id="16" w:name="_Toc14"/>
      <w:r w:rsidRPr="0009119E">
        <w:rPr>
          <w:rFonts w:cs="Arial"/>
          <w:sz w:val="20"/>
          <w:szCs w:val="20"/>
        </w:rPr>
        <w:t>4. Study Objectives</w:t>
      </w:r>
      <w:bookmarkEnd w:id="16"/>
    </w:p>
    <w:p w14:paraId="70837F59" w14:textId="77777777" w:rsidR="003562FC" w:rsidRPr="0009119E" w:rsidRDefault="00000000" w:rsidP="003562FC">
      <w:pPr>
        <w:pStyle w:val="Heading2"/>
        <w:spacing w:before="0" w:after="0"/>
        <w:rPr>
          <w:rFonts w:cs="Arial"/>
          <w:szCs w:val="20"/>
        </w:rPr>
      </w:pPr>
      <w:bookmarkStart w:id="17" w:name="_Toc15"/>
      <w:r w:rsidRPr="0009119E">
        <w:rPr>
          <w:rFonts w:cs="Arial"/>
          <w:szCs w:val="20"/>
        </w:rPr>
        <w:t>4.1 Hypothesis</w:t>
      </w:r>
      <w:bookmarkEnd w:id="17"/>
    </w:p>
    <w:p w14:paraId="7FB970D7" w14:textId="77777777" w:rsidR="003562FC" w:rsidRDefault="00000000" w:rsidP="003562FC">
      <w:r w:rsidRPr="0009119E">
        <w:t>We hypothesize that use of CGM and actigraphy devices for 14 days will be feasible at five select timepoints in pregnancy.</w:t>
      </w:r>
    </w:p>
    <w:p w14:paraId="082ADD86" w14:textId="77777777" w:rsidR="003562FC" w:rsidRPr="0009119E" w:rsidRDefault="003562FC" w:rsidP="003562FC"/>
    <w:p w14:paraId="6F810311" w14:textId="77777777" w:rsidR="003562FC" w:rsidRPr="0009119E" w:rsidRDefault="00000000" w:rsidP="003562FC">
      <w:pPr>
        <w:pStyle w:val="Heading2"/>
        <w:spacing w:before="0" w:after="0"/>
        <w:rPr>
          <w:rFonts w:cs="Arial"/>
          <w:szCs w:val="20"/>
        </w:rPr>
      </w:pPr>
      <w:bookmarkStart w:id="18" w:name="_Toc16"/>
      <w:r w:rsidRPr="0009119E">
        <w:rPr>
          <w:rFonts w:cs="Arial"/>
          <w:szCs w:val="20"/>
        </w:rPr>
        <w:t>4.2 Primary Objective</w:t>
      </w:r>
      <w:bookmarkEnd w:id="18"/>
    </w:p>
    <w:p w14:paraId="435F9584" w14:textId="77777777" w:rsidR="003562FC" w:rsidRDefault="00000000" w:rsidP="003562FC">
      <w:r w:rsidRPr="0009119E">
        <w:t>The primary objective of this study is to compute feasibility of multi-timepoint multi-wearable use in pregnancy. We will compute validated metrics to assess adherence to and acceptability of wearable use during pregnancy.</w:t>
      </w:r>
    </w:p>
    <w:p w14:paraId="44F7C9FC" w14:textId="77777777" w:rsidR="003562FC" w:rsidRPr="0009119E" w:rsidRDefault="003562FC" w:rsidP="003562FC"/>
    <w:p w14:paraId="710CAB00" w14:textId="77777777" w:rsidR="003562FC" w:rsidRPr="0009119E" w:rsidRDefault="00000000" w:rsidP="003562FC">
      <w:pPr>
        <w:pStyle w:val="Heading2"/>
        <w:spacing w:before="0" w:after="0"/>
        <w:rPr>
          <w:rFonts w:cs="Arial"/>
          <w:szCs w:val="20"/>
        </w:rPr>
      </w:pPr>
      <w:bookmarkStart w:id="19" w:name="_Toc17"/>
      <w:r w:rsidRPr="0009119E">
        <w:rPr>
          <w:rFonts w:cs="Arial"/>
          <w:szCs w:val="20"/>
        </w:rPr>
        <w:t>4.3 Secondary Objectives</w:t>
      </w:r>
      <w:bookmarkEnd w:id="19"/>
    </w:p>
    <w:p w14:paraId="0E0912C5" w14:textId="77777777" w:rsidR="003562FC" w:rsidRDefault="00000000" w:rsidP="003562FC">
      <w:r w:rsidRPr="0009119E">
        <w:t>The secondary objective would be to compute measures of glycemic variability from CGM, and measures of physical activity, sleep, and blood pressure (BP) from the actigraphy monitor.</w:t>
      </w:r>
    </w:p>
    <w:p w14:paraId="0D21B51C" w14:textId="77777777" w:rsidR="003562FC" w:rsidRPr="0009119E" w:rsidRDefault="003562FC" w:rsidP="003562FC"/>
    <w:p w14:paraId="612DA6B9" w14:textId="77777777" w:rsidR="003562FC" w:rsidRPr="0009119E" w:rsidRDefault="00000000" w:rsidP="003562FC">
      <w:pPr>
        <w:pStyle w:val="Heading2"/>
        <w:spacing w:before="0" w:after="0"/>
        <w:rPr>
          <w:rFonts w:cs="Arial"/>
          <w:szCs w:val="20"/>
        </w:rPr>
      </w:pPr>
      <w:r w:rsidRPr="0009119E">
        <w:rPr>
          <w:rFonts w:cs="Arial"/>
          <w:szCs w:val="20"/>
        </w:rPr>
        <w:lastRenderedPageBreak/>
        <w:t>4.4 Exploratory Objectives</w:t>
      </w:r>
    </w:p>
    <w:p w14:paraId="2F61DFD9" w14:textId="77777777" w:rsidR="003562FC" w:rsidRDefault="00000000" w:rsidP="003562FC">
      <w:r w:rsidRPr="0009119E">
        <w:t>As exploratory objectives, we will design AI algorithms to automatically quantify key glycemic, physical activity, sleep, and BP metrics. We will also examine the correlation between wearable metrics and a set of well-known maternal and neonatal outcomes.</w:t>
      </w:r>
    </w:p>
    <w:p w14:paraId="58D55D19" w14:textId="77777777" w:rsidR="003562FC" w:rsidRPr="0009119E" w:rsidRDefault="003562FC" w:rsidP="003562FC"/>
    <w:p w14:paraId="0C617D0C" w14:textId="77777777" w:rsidR="003562FC" w:rsidRPr="0009119E" w:rsidRDefault="00000000" w:rsidP="003562FC">
      <w:pPr>
        <w:pStyle w:val="Heading1"/>
        <w:spacing w:after="0"/>
        <w:rPr>
          <w:rFonts w:cs="Arial"/>
          <w:sz w:val="20"/>
          <w:szCs w:val="20"/>
        </w:rPr>
      </w:pPr>
      <w:bookmarkStart w:id="20" w:name="_Toc18"/>
      <w:r w:rsidRPr="0009119E">
        <w:rPr>
          <w:rFonts w:cs="Arial"/>
          <w:sz w:val="20"/>
          <w:szCs w:val="20"/>
        </w:rPr>
        <w:t>5. Study Design</w:t>
      </w:r>
      <w:bookmarkEnd w:id="20"/>
    </w:p>
    <w:p w14:paraId="1306FD98" w14:textId="77777777" w:rsidR="003562FC" w:rsidRPr="0009119E" w:rsidRDefault="00000000" w:rsidP="003562FC">
      <w:pPr>
        <w:pStyle w:val="Heading2"/>
        <w:spacing w:before="0" w:after="0"/>
        <w:rPr>
          <w:rFonts w:cs="Arial"/>
          <w:szCs w:val="20"/>
        </w:rPr>
      </w:pPr>
      <w:bookmarkStart w:id="21" w:name="_Toc19"/>
      <w:r w:rsidRPr="0009119E">
        <w:rPr>
          <w:rFonts w:cs="Arial"/>
          <w:szCs w:val="20"/>
        </w:rPr>
        <w:t>5.1 General Design Description</w:t>
      </w:r>
      <w:bookmarkEnd w:id="21"/>
    </w:p>
    <w:p w14:paraId="0E3B6798" w14:textId="77777777" w:rsidR="003562FC" w:rsidRPr="0009119E" w:rsidRDefault="00000000" w:rsidP="003562FC">
      <w:pPr>
        <w:pStyle w:val="Heading3"/>
        <w:spacing w:before="0" w:after="0"/>
        <w:rPr>
          <w:szCs w:val="20"/>
        </w:rPr>
      </w:pPr>
      <w:bookmarkStart w:id="22" w:name="_Toc20"/>
      <w:r w:rsidRPr="0009119E">
        <w:rPr>
          <w:szCs w:val="20"/>
        </w:rPr>
        <w:t>5.1.1 Study Date Range and Duration</w:t>
      </w:r>
      <w:bookmarkEnd w:id="22"/>
    </w:p>
    <w:p w14:paraId="1801EE9D" w14:textId="77777777" w:rsidR="003562FC" w:rsidRDefault="00000000" w:rsidP="003562FC">
      <w:r w:rsidRPr="0009119E">
        <w:t xml:space="preserve">Date range June 2024 — April 2027. Each participant will be asked to wear the CGM and actigraphy devices for fourteen days following clinic visits. </w:t>
      </w:r>
    </w:p>
    <w:p w14:paraId="1D2BBFF3" w14:textId="77777777" w:rsidR="003562FC" w:rsidRPr="0009119E" w:rsidRDefault="003562FC" w:rsidP="003562FC"/>
    <w:p w14:paraId="326F889F" w14:textId="77777777" w:rsidR="003562FC" w:rsidRPr="0009119E" w:rsidRDefault="00000000" w:rsidP="003562FC">
      <w:pPr>
        <w:pStyle w:val="Heading3"/>
        <w:spacing w:before="0" w:after="0"/>
        <w:rPr>
          <w:szCs w:val="20"/>
        </w:rPr>
      </w:pPr>
      <w:bookmarkStart w:id="23" w:name="_Toc21"/>
      <w:r w:rsidRPr="0009119E">
        <w:rPr>
          <w:szCs w:val="20"/>
        </w:rPr>
        <w:t>5.1.2 Number of Study Sites</w:t>
      </w:r>
      <w:bookmarkEnd w:id="23"/>
    </w:p>
    <w:p w14:paraId="7BD91034" w14:textId="77777777" w:rsidR="003562FC" w:rsidRDefault="00000000" w:rsidP="003562FC">
      <w:r w:rsidRPr="0009119E">
        <w:t>NYU Langone Health OB/GYN associates (159 East 53rd street) will be the only site</w:t>
      </w:r>
      <w:r>
        <w:t>.</w:t>
      </w:r>
    </w:p>
    <w:p w14:paraId="514F8FEE" w14:textId="77777777" w:rsidR="003562FC" w:rsidRPr="0009119E" w:rsidRDefault="003562FC" w:rsidP="003562FC"/>
    <w:p w14:paraId="74516CCF" w14:textId="77777777" w:rsidR="003562FC" w:rsidRPr="0009119E" w:rsidRDefault="00000000" w:rsidP="003562FC">
      <w:pPr>
        <w:pStyle w:val="Heading2"/>
        <w:spacing w:before="0" w:after="0"/>
        <w:rPr>
          <w:rFonts w:cs="Arial"/>
          <w:szCs w:val="20"/>
        </w:rPr>
      </w:pPr>
      <w:bookmarkStart w:id="24" w:name="_Toc22"/>
      <w:r w:rsidRPr="0009119E">
        <w:rPr>
          <w:rFonts w:cs="Arial"/>
          <w:szCs w:val="20"/>
        </w:rPr>
        <w:t>5.2 Outcome Variables</w:t>
      </w:r>
      <w:bookmarkEnd w:id="24"/>
    </w:p>
    <w:p w14:paraId="72C828BF" w14:textId="77777777" w:rsidR="003562FC" w:rsidRPr="0009119E" w:rsidRDefault="00000000" w:rsidP="003562FC">
      <w:pPr>
        <w:pStyle w:val="Heading3"/>
        <w:spacing w:before="0" w:after="0"/>
        <w:rPr>
          <w:szCs w:val="20"/>
        </w:rPr>
      </w:pPr>
      <w:bookmarkStart w:id="25" w:name="_Toc23"/>
      <w:r w:rsidRPr="0009119E">
        <w:rPr>
          <w:szCs w:val="20"/>
        </w:rPr>
        <w:t>5.2.1 Primary Outcome Variables</w:t>
      </w:r>
      <w:bookmarkEnd w:id="25"/>
    </w:p>
    <w:p w14:paraId="03D028CB" w14:textId="77777777" w:rsidR="003562FC" w:rsidRDefault="00000000" w:rsidP="003562FC">
      <w:r w:rsidRPr="0009119E">
        <w:t>We will compute a set of validated feasibility metrics as primary outcomes as follows:</w:t>
      </w:r>
    </w:p>
    <w:p w14:paraId="63B99B88" w14:textId="77777777" w:rsidR="003562FC" w:rsidRPr="0009119E" w:rsidRDefault="003562FC" w:rsidP="003562FC"/>
    <w:p w14:paraId="62909B8D" w14:textId="77777777" w:rsidR="003562FC" w:rsidRPr="0009119E" w:rsidRDefault="00000000" w:rsidP="003562FC">
      <w:r w:rsidRPr="0009119E">
        <w:rPr>
          <w:b/>
          <w:u w:val="single"/>
        </w:rPr>
        <w:t>From CGM</w:t>
      </w:r>
      <w:r w:rsidRPr="0009119E">
        <w:t>:</w:t>
      </w:r>
    </w:p>
    <w:p w14:paraId="60AC66AF" w14:textId="77777777" w:rsidR="003562FC" w:rsidRPr="0009119E" w:rsidRDefault="00000000" w:rsidP="003562FC">
      <w:pPr>
        <w:numPr>
          <w:ilvl w:val="0"/>
          <w:numId w:val="3"/>
        </w:numPr>
      </w:pPr>
      <w:r w:rsidRPr="0009119E">
        <w:t>Number of days of CGM wear- Current CGM consensus guidelines</w:t>
      </w:r>
      <w:r w:rsidRPr="0009119E">
        <w:fldChar w:fldCharType="begin"/>
      </w:r>
      <w:r w:rsidRPr="0009119E">
        <w:instrText xml:space="preserve"> ADDIN ZOTERO_ITEM CSL_CITATION {"citationID":"EJnksf6T","properties":{"formattedCitation":"\\super 15\\nosupersub{}","plainCitation":"15","noteIndex":0},"citationItems":[{"id":104,"uris":["http://zotero.org/users/11635066/items/UJL8JNTZ"],"itemData":{"id":104,"type":"article-journal","abstract":"Randomised controlled trials and other prospective clinical studies for novel medical interventions in people with diabetes have traditionally reported HbA1c as the measure of average blood glucose levels for the 3 months preceding the HbA1c test date. The use of this measure highlights the long-established correlation between HbA1c and relative risk of diabetes complications; the change in the measure, before and after the therapeutic intervention, is used by regulators for the approval of medications for diabetes. However, with the increasing use of continuous glucose monitoring (CGM) in clinical practice, prospective clinical studies are also increasingly using CGM devices to collect data and evaluate glucose profiles among study participants, complementing HbA1c findings, and further assess the effects of therapeutic interventions on HbA1c. Data is collected by CGM devices at 1–5 min intervals, which obtains data on glycaemic excursions and periods of asymptomatic hypoglycaemia or hyperglycaemia (ie, details of glycaemic control that are not provided by HbA1c concentrations alone that are measured continuously and can be analysed in daily, weekly, or monthly timeframes). These CGM-derived metrics are the subject of standardised, internationally agreed reporting formats and should, therefore, be considered for use in all clinical studies in diabetes. The purpose of this consensus statement is to recommend the ways CGM data might be used in prospective clinical studies, either as a specified study endpoint or as supportive complementary glucose metrics, to provide clinical information that can be considered by investigators, regulators, companies, clinicians, and individuals with diabetes who are stakeholders in trial outcomes. In this consensus statement, we provide recommendations on how to optimise CGM-derived glucose data collection in clinical studies, including the specific glucose metrics and specific glucose metrics that should be evaluated. These recommendations have been endorsed by the American Association of Clinical Endocrinologists, the American Diabetes Association, the Association of Diabetes Care and Education Specialists, DiabetesIndia, the European Association for the Study of Diabetes, the International Society for Pediatric and Adolescent Diabetes, the Japanese Diabetes Society, and the Juvenile Diabetes Research Foundation. A standardised approach to CGM data collection and reporting in clinical trials will encourage the use of these metrics and enhance the interpretability of CGM data, which could provide useful information other than HbA1c for informing therapeutic and treatment decisions, particularly related to hypoglycaemia, postprandial hyperglycaemia, and glucose variability.","container-title":"The Lancet Diabetes &amp; Endocrinology","DOI":"10.1016/S2213-8587(22)00319-9","ISSN":"2213-8587","issue":"1","journalAbbreviation":"The Lancet Diabetes &amp; Endocrinology","language":"en","page":"42-57","source":"ScienceDirect","title":"Continuous glucose monitoring and metrics for clinical trials: an international consensus statement","title-short":"Continuous glucose monitoring and metrics for clinical trials","volume":"11","author":[{"family":"Battelino","given":"Tadej"},{"family":"Alexander","given":"Charles M"},{"family":"Amiel","given":"Stephanie A"},{"family":"Arreaza-Rubin","given":"Guillermo"},{"family":"Beck","given":"Roy W"},{"family":"Bergenstal","given":"Richard M"},{"family":"Buckingham","given":"Bruce A"},{"family":"Carroll","given":"James"},{"family":"Ceriello","given":"Antonio"},{"family":"Chow","given":"Elaine"},{"family":"Choudhary","given":"Pratik"},{"family":"Close","given":"Kelly"},{"family":"Danne","given":"Thomas"},{"family":"Dutta","given":"Sanjoy"},{"family":"Gabbay","given":"Robert"},{"family":"Garg","given":"Satish"},{"family":"Heverly","given":"Julie"},{"family":"Hirsch","given":"Irl B"},{"family":"Kader","given":"Tina"},{"family":"Kenney","given":"Julia"},{"family":"Kovatchev","given":"Boris"},{"family":"Laffel","given":"Lori"},{"family":"Maahs","given":"David"},{"family":"Mathieu","given":"Chantal"},{"family":"Mauricio","given":"Dídac"},{"family":"Nimri","given":"Revital"},{"family":"Nishimura","given":"Rimei"},{"family":"Scharf","given":"Mauro"},{"family":"Del Prato","given":"Stefano"},{"family":"Renard","given":"Eric"},{"family":"Rosenstock","given":"Julio"},{"family":"Saboo","given":"Banshi"},{"family":"Ueki","given":"Kohjiro"},{"family":"Umpierrez","given":"Guillermo E"},{"family":"Weinzimer","given":"Stuart A"},{"family":"Phillip","given":"Moshe"}],"issued":{"date-parts":[["2023",1,1]]}}}],"schema":"https://github.com/citation-style-language/schema/raw/master/csl-citation.json"} </w:instrText>
      </w:r>
      <w:r w:rsidRPr="0009119E">
        <w:fldChar w:fldCharType="separate"/>
      </w:r>
      <w:r w:rsidRPr="0009119E">
        <w:rPr>
          <w:vertAlign w:val="superscript"/>
        </w:rPr>
        <w:t>15</w:t>
      </w:r>
      <w:r w:rsidRPr="0009119E">
        <w:fldChar w:fldCharType="end"/>
      </w:r>
      <w:r w:rsidRPr="0009119E">
        <w:t xml:space="preserve"> state that confident interpretation of CGM metrics requires 14 consecutive days of CGM data with at least 70% of data collected during that time. Therefore, we will record the number of days of CGM wear as the primary metric for CGM feasibility, while additionally also documenting the number of glucose readings over the wear period.</w:t>
      </w:r>
    </w:p>
    <w:p w14:paraId="50EC2815" w14:textId="77777777" w:rsidR="003562FC" w:rsidRDefault="003562FC" w:rsidP="003562FC">
      <w:pPr>
        <w:rPr>
          <w:b/>
          <w:u w:val="single"/>
        </w:rPr>
      </w:pPr>
    </w:p>
    <w:p w14:paraId="0ECA85AC" w14:textId="77777777" w:rsidR="003562FC" w:rsidRPr="0009119E" w:rsidRDefault="00000000" w:rsidP="003562FC">
      <w:r w:rsidRPr="0009119E">
        <w:rPr>
          <w:b/>
          <w:u w:val="single"/>
        </w:rPr>
        <w:t>From actigraphy monitor</w:t>
      </w:r>
      <w:r w:rsidRPr="0009119E">
        <w:t>:</w:t>
      </w:r>
    </w:p>
    <w:p w14:paraId="0A76DB5F" w14:textId="77777777" w:rsidR="003562FC" w:rsidRPr="0009119E" w:rsidRDefault="00000000" w:rsidP="003562FC">
      <w:pPr>
        <w:numPr>
          <w:ilvl w:val="0"/>
          <w:numId w:val="4"/>
        </w:numPr>
      </w:pPr>
      <w:r w:rsidRPr="0009119E">
        <w:t>Number of days with at least 10h of device wear and 128 steps- Previous research studies have defined a valid day for physical activity measurement by an accelerometer as a day with both 10 hours of wear</w:t>
      </w:r>
      <w:r w:rsidRPr="0009119E">
        <w:fldChar w:fldCharType="begin"/>
      </w:r>
      <w:r w:rsidRPr="0009119E">
        <w:instrText xml:space="preserve"> ADDIN ZOTERO_ITEM CSL_CITATION {"citationID":"ZS44jcg3","properties":{"formattedCitation":"\\super 16,17\\nosupersub{}","plainCitation":"16,17","noteIndex":0},"citationItems":[{"id":498,"uris":["http://zotero.org/users/11635066/items/C5MAFWH4"],"itemData":{"id":498,"type":"article-journal","abstract":"The association between physical activity and human disease has not been examined using commercial devices linked to electronic health records. Using the electronic health records data from the All of Us Research Program, we show that step count volumes as captured by participants’ own Fitbit devices were associated with risk of chronic disease across the entire human phenome. Of the 6,042 participants included in the study, 73% were female, 84% were white and 71% had a college degree, and participants had a median age of 56.7 (interquartile range 41.5–67.6) years and body mass index of 28.1 (24.3–32.9) kg m–2. Participants walked a median of 7,731.3 (5,866.8–9,826.8) steps per day over the median activity monitoring period of 4.0 (2.2–5.6) years with a total of 5.9 million person-days of monitoring. The relationship between steps per day and incident disease was inverse and linear for obesity (n = 368), sleep apnea (n = 348), gastroesophageal reflux disease (n = 432) and major depressive disorder (n = 467), with values above 8,200 daily steps associated with protection from incident disease. The relationships with incident diabetes (n = 156) and hypertension (n = 482) were nonlinear with no further risk reduction above 8,000–9,000 steps. Although validation in a more diverse sample is needed, these findings provide a real-world evidence-base for clinical guidance regarding activity levels that are necessary to reduce disease risk.","container-title":"Nature Medicine","DOI":"10.1038/s41591-022-02012-w","ISSN":"1546-170X","issue":"11","journalAbbreviation":"Nat Med","language":"en","license":"2022 The Author(s)","note":"number: 11\npublisher: Nature Publishing Group","page":"2301-2308","source":"www.nature.com","title":"Association of step counts over time with the risk of chronic disease in the All of Us Research Program","volume":"28","author":[{"family":"Master","given":"Hiral"},{"family":"Annis","given":"Jeffrey"},{"family":"Huang","given":"Shi"},{"family":"Beckman","given":"Joshua A."},{"family":"Ratsimbazafy","given":"Francis"},{"family":"Marginean","given":"Kayla"},{"family":"Carroll","given":"Robert"},{"family":"Natarajan","given":"Karthik"},{"family":"Harrell","given":"Frank E."},{"family":"Roden","given":"Dan M."},{"family":"Harris","given":"Paul"},{"family":"Brittain","given":"Evan L."}],"issued":{"date-parts":[["2022",11]]}}},{"id":721,"uris":["http://zotero.org/users/11635066/items/PM74ZIGM"],"itemData":{"id":721,"type":"article-journal","abstract":"Introduction\nThe use of movement monitors (accelerometers) for measuring physical activity (PA) in intervention and population-based studies is becoming a standard methodology for the objective measurement of sedentary and active behaviors and for validation of subjective PA self-reports. A vital step in PA measurements is classification of daily time into accelerometer wear and nonwear intervals using its recordings (counts) and an accelerometer-specific algorithm.\n\nPurpose\nTo validate and improve a commonly used algorithm for classifying accelerometer wear and nonwear time intervals using objective movement data obtained in the whole-room indirect calorimeter.\n\nMethods\nWe conducted a validation study of a wear/nonwear automatic algorithm using data obtained from 49 adults and 76 youth wearing accelerometers during a strictly monitored 24-h stay in a room calorimeter. The accelerometer wear and nonwear time classified by the algorithm was compared with actual wearing time. Potential improvements to the algorithm were examined using the minimum classification error as an optimization target.\n\nResults\nThe recommended elements in the new algorithm are: 1) zero-count threshold during a nonwear time interval, 2) 90-min time window for consecutive zero/nonzero counts, and 3) allowance of 2-min interval of nonzero counts with the up/downstream 30-min consecutive zero counts window for detection of artifactual movements. Compared to the true wearing status, improvements to the algorithm decreased nonwear time misclassification during the waking and the 24-h periods (all P &lt; 0.001).\n\nConclusions\nThe accelerometer wear/nonwear time algorithm improvements may lead to more accurate estimation of time spent in sedentary and active behaviors.","container-title":"Medicine and science in sports and exercise","DOI":"10.1249/MSS.0b013e3181ed61a3","ISSN":"0195-9131","issue":"2","journalAbbreviation":"Med Sci Sports Exerc","note":"PMID: 20581716\nPMCID: PMC3184184","page":"357-364","source":"PubMed Central","title":"Validation of Accelerometer Wear and Nonwear Time Classification Algorithm","volume":"43","author":[{"family":"Choi","given":"Leena"},{"family":"Liu","given":"Zhouwen"},{"family":"Matthews","given":"Charles E."},{"family":"Buchowski","given":"Maciej S."}],"issued":{"date-parts":[["2011",2]]}}}],"schema":"https://github.com/citation-style-language/schema/raw/master/csl-citation.json"} </w:instrText>
      </w:r>
      <w:r w:rsidRPr="0009119E">
        <w:fldChar w:fldCharType="separate"/>
      </w:r>
      <w:r w:rsidRPr="0009119E">
        <w:rPr>
          <w:vertAlign w:val="superscript"/>
        </w:rPr>
        <w:t>16,17</w:t>
      </w:r>
      <w:r w:rsidRPr="0009119E">
        <w:fldChar w:fldCharType="end"/>
      </w:r>
      <w:r w:rsidRPr="0009119E">
        <w:t xml:space="preserve"> and at least 128 steps</w:t>
      </w:r>
      <w:r w:rsidRPr="0009119E">
        <w:fldChar w:fldCharType="begin"/>
      </w:r>
      <w:r w:rsidRPr="0009119E">
        <w:instrText xml:space="preserve"> ADDIN ZOTERO_ITEM CSL_CITATION {"citationID":"q1g7JQbP","properties":{"formattedCitation":"\\super 18\\nosupersub{}","plainCitation":"18","noteIndex":0},"citationItems":[{"id":509,"uris":["http://zotero.org/users/11635066/items/BTZVHUJC"],"itemData":{"id":509,"type":"article-journal","abstract":"Disability measures in multiple sclerosis (MS) fail to capture potentially important variability in walking behavior. More sensitive and ecologically valid outcome measures are needed to advance MS research.To assess continuous step count activity remotely among individuals with MS for 1 year and determine how average daily step count is associated with other measures of MS disability.In a prospective longitudinal observational cohort study, 95 adults with relapsing or progressive MS who were able to walk more than 2 minutes with or without an assistive device were recruited between June 15, 2015, and August 8, 2016, and remotely monitored in their natural environment for 1 year. Patients were excluded if they had a clinical relapse within 30 days or comorbidity contributing to ambulatory impairment. Longitudinal analysis was performed from October 2017 to March 2018. Revised analysis was performed in December 2018.Activity monitoring of step count using a wrist-worn accelerometer.Average daily step count compared with in-clinic assessments and patient-reported outcomes.Of the 95 participants recruited (59 women and 36 men; mean [SD] age, 49.6 [13.6] years [range, 22.0-74.0 years]), 35 (37%) had progressive MS, and the median baseline Expanded Disability Status Scale score was 4.0 (range, 0-6.5). At 1 year, 79 participants completed follow-up (83% retention). There was a modest reduction in accelerometer use during the 1 year of the study. A decreasing average daily step count during the study was associated with worsening of clinic-based outcomes (Timed 25-Foot Walk, β = −13.09; P &amp;lt; .001; Timed-Up-and-Go, β = −9.25; P &amp;lt; .001) and patient-reported outcomes (12-item Multiple Sclerosis Walking Scale, β = −17.96; P &amp;lt; .001). A decreasing average daily step count occurred even when the Expanded Disability Status Scale score remained stable, and 12 of 25 participants (48%) with a significant decrease in average daily step count during the study did not have a reduction on other standard clinic-based metrics. Participants with a baseline average daily step count below 4766 (cohort median) had higher odds of clinically meaningful disability (Expanded Disability Status Scale score) worsening at 1 year, adjusting for age, sex, and disease duration (odds ratio, 4.01; 95% CI, 1.17-13.78; P = .03).Continuous remote activity monitoring of individuals with MS for 1 year appears to be feasible. In this study, a decreasing average daily step count during a 1-year period was associated with worsening of standard ambulatory measures but could also occur even when traditional disability measures remained stable. These results appear to support the prospect of using the average daily step count as a sensitive longitudinal outcome measure in MS and as a clinically relevant metric for targeted intervention.","container-title":"JAMA Network Open","DOI":"10.1001/jamanetworkopen.2019.0570","ISSN":"2574-3805","issue":"3","journalAbbreviation":"JAMA Network Open","page":"e190570","source":"Silverchair","title":"Association of Continuous Assessment of Step Count by Remote Monitoring With Disability Progression Among Adults With Multiple Sclerosis","volume":"2","author":[{"family":"Block","given":"Valerie J."},{"family":"Bove","given":"Riley"},{"family":"Zhao","given":"Chao"},{"family":"Garcha","given":"Priya"},{"family":"Graves","given":"Jennifer"},{"family":"Romeo","given":"Andrew R."},{"family":"Green","given":"Ari J."},{"family":"Allen","given":"Diane D."},{"family":"Hollenbach","given":"Jill A."},{"family":"Olgin","given":"Jeffrey E."},{"family":"Marcus","given":"Gregory M."},{"family":"Pletcher","given":"Mark J."},{"family":"Cree","given":"Bruce A. C."},{"family":"Gelfand","given":"Jeffrey M."}],"issued":{"date-parts":[["2019",3,15]]}}}],"schema":"https://github.com/citation-style-language/schema/raw/master/csl-citation.json"} </w:instrText>
      </w:r>
      <w:r w:rsidRPr="0009119E">
        <w:fldChar w:fldCharType="separate"/>
      </w:r>
      <w:r w:rsidRPr="0009119E">
        <w:rPr>
          <w:vertAlign w:val="superscript"/>
        </w:rPr>
        <w:t>18</w:t>
      </w:r>
      <w:r w:rsidRPr="0009119E">
        <w:fldChar w:fldCharType="end"/>
      </w:r>
      <w:r w:rsidRPr="0009119E">
        <w:t xml:space="preserve">. We will use this criterion to compute how many valid days of actigraphy monitor wear the participants had. </w:t>
      </w:r>
    </w:p>
    <w:p w14:paraId="0CCA94B8" w14:textId="77777777" w:rsidR="003562FC" w:rsidRPr="0009119E" w:rsidRDefault="00000000" w:rsidP="003562FC">
      <w:pPr>
        <w:numPr>
          <w:ilvl w:val="0"/>
          <w:numId w:val="4"/>
        </w:numPr>
      </w:pPr>
      <w:r w:rsidRPr="0009119E">
        <w:t>Number of days device worn during sleep- No clear guidelines exist on how much sleep duration is sufficient to be considered a valid sleep day for actigraphy. Therefore, we will calculate the number of days the actigraphy monitor’s sleep algorithm records a nighttime (between 21:00h-08:59h) sleep episode. The actigraphy monitor’s sleep algorithm is based on the validated Cole-Kripke algorithm</w:t>
      </w:r>
      <w:r w:rsidRPr="0009119E">
        <w:fldChar w:fldCharType="begin"/>
      </w:r>
      <w:r w:rsidRPr="0009119E">
        <w:instrText xml:space="preserve"> ADDIN ZOTERO_ITEM CSL_CITATION {"citationID":"nTqDnkLB","properties":{"formattedCitation":"\\super 19\\nosupersub{}","plainCitation":"19","noteIndex":0},"citationItems":[{"id":640,"uris":["http://zotero.org/users/11635066/items/HYCGYRYU"],"itemData":{"id":640,"type":"article-journal","abstract":"The purpose of this study was to develop and validate automatic scoring methods to distinguish sleep from wakefulness based on wrist activity. Forty-one subjects (18 normals and 23 with sleep or psychiatric disorders) wore a wrist actigraph during overnight polysomnography. In a randomly selected subsample of 20 subjects, candidate sleep/wake prediction algorithms were iteratively optimized against standard sleep/wake scores. The optimal algorithms obtained for various data collection epoch lengths were then prospectively tested on the remaining 21 subjects. The final algorithms correctly distinguished sleep from wakefulness approximately 88% of the time. Actigraphic sleep percentage and sleep latency estimates correlated 0.82 and 0.90, respectively, with corresponding parameters scored from the polysomnogram (p &lt; 0.0001). Automatic scoring of wrist activity provides valuable information about sleep and wakefulness that could be useful in both clinical and research applications.","container-title":"Sleep","DOI":"10.1093/sleep/15.5.461","ISSN":"0161-8105","issue":"5","journalAbbreviation":"Sleep","language":"eng","note":"PMID: 1455130","page":"461-469","source":"PubMed","title":"Automatic sleep/wake identification from wrist activity","volume":"15","author":[{"family":"Cole","given":"R. J."},{"family":"Kripke","given":"D. F."},{"family":"Gruen","given":"W."},{"family":"Mullaney","given":"D. J."},{"family":"Gillin","given":"J. C."}],"issued":{"date-parts":[["1992",10]]}}}],"schema":"https://github.com/citation-style-language/schema/raw/master/csl-citation.json"} </w:instrText>
      </w:r>
      <w:r w:rsidRPr="0009119E">
        <w:fldChar w:fldCharType="separate"/>
      </w:r>
      <w:r w:rsidRPr="0009119E">
        <w:rPr>
          <w:vertAlign w:val="superscript"/>
        </w:rPr>
        <w:t>19</w:t>
      </w:r>
      <w:r w:rsidRPr="0009119E">
        <w:fldChar w:fldCharType="end"/>
      </w:r>
      <w:r w:rsidRPr="0009119E">
        <w:t xml:space="preserve"> and other additional pre-and post-processing steps</w:t>
      </w:r>
      <w:r w:rsidRPr="0009119E">
        <w:fldChar w:fldCharType="begin"/>
      </w:r>
      <w:r w:rsidRPr="0009119E">
        <w:instrText xml:space="preserve"> ADDIN ZOTERO_ITEM CSL_CITATION {"citationID":"zr8xUlYu","properties":{"formattedCitation":"\\super 20,21\\nosupersub{}","plainCitation":"20,21","noteIndex":0},"citationItems":[{"id":643,"uris":["http://zotero.org/users/11635066/items/9PUZBU7M"],"itemData":{"id":643,"type":"article-journal","abstract":"Actigraphy, a method for inferring sleep/wake patterns based on movement data gathered using actigraphs, is increasingly used in population-based epidemiologic studies because of its ability to monitor activity in natural settings. Using special software, actigraphic data are analyzed to estimate a range of sleep parameters. To date, despite extensive application of actigraphs in sleep research, published literature specifically detailing the methodology for derivation of sleep parameters is lacking; such information is critical for the appropriate analysis and interpretation of actigraphy data. Reporting of sleep parameters has also been inconsistent across studies, likely reflecting the lack of consensus regarding the definition of sleep onset and offset. In addition, actigraphy data are generally underutilized, with only a fraction of the sleep parameters generated through actigraphy routinely used in current sleep research. The objectives of this paper are to review existing algorithms used to estimate sleep/wake cycles from movement data, demonstrate the rules/methods used for estimating sleep parameters, provide clear technical definitions of the parameters, and suggest potential new measures that reflect intraindividual variability. Utilizing original data collected using Motionlogger Sleep Watch (Ambulatory Monitoring Inc., Ardsley, NY), we detail the methodology and derivation of 29 nocturnal sleep parameters, including those both widely and rarely utilized in research. By improving understanding of the actigraphy process, the information provided in this paper may help: ensure appropriate use and interpretation of sleep parameters in future studies; enable the recalibration of sleep parameters to address specific goals; inform the development of new measures; and increase the breadth of sleep parameters used.","container-title":"Annals of Work Exposures and Health","DOI":"10.1093/annweh/wxaa007","ISSN":"2398-7308","issue":"4","journalAbbreviation":"Ann Work Expo Health","note":"PMID: 32053169\nPMCID: PMC7191872","page":"350-367","source":"PubMed Central","title":"Actigraphy-Based Assessment of Sleep Parameters","volume":"64","author":[{"family":"Fekedulegn","given":"Desta"},{"family":"Andrew","given":"Michael E"},{"family":"Shi","given":"Mingming"},{"family":"Violanti","given":"John M"},{"family":"Knox","given":"Sarah"},{"family":"Innes","given":"Kim E"}],"issued":{"date-parts":[["2020",5]]}}},{"id":718,"uris":["http://zotero.org/users/11635066/items/484LI7V4"],"itemData":{"id":718,"type":"article-journal","abstract":"To record sleep, actigraph devices are worn on the wrist and record movements that can be used to estimate sleep parameters with specialized algorithms in computer software programs. With the recent establishment of a Current Procedural Terminology code for wrist actigraphy, this technology is being used increasingly in clinical settings as actigraphy has the advantage of providing objective information on sleep habits in the patient's natural sleep environment. Actigraphy has been well validated for the estimation of nighttime sleep parameters across age groups, but the validity of the estimation of sleep-onset latency and daytime sleeping is limited. Clinical guidelines and research suggest that wrist actigraphy is particularly useful in the documentation of sleep patterns prior to a multiple sleep latency test, in the evaluation of circadian rhythm sleep disorders, to evaluate treatment outcomes, and as an adjunct to home monitoring of sleep-disordered breathing. Actigraphy has also been well studied in the evaluation of sleep in the context of depression and dementia. Although actigraphy should not be viewed as a substitute for clinical interviews, sleep diaries, or overnight polysomnography when indicated, it can provide useful information about sleep in the natural sleep environment and/or when extended monitoring is clinically indicated.","container-title":"Chest","DOI":"10.1378/chest.10-1872","ISSN":"0012-3692","issue":"6","journalAbbreviation":"Chest","page":"1514-1527","source":"ScienceDirect","title":"Wrist Actigraphy","volume":"139","author":[{"family":"Martin","given":"Jennifer L."},{"family":"Hakim","given":"Alex D."}],"issued":{"date-parts":[["2011",6,1]]}}}],"schema":"https://github.com/citation-style-language/schema/raw/master/csl-citation.json"} </w:instrText>
      </w:r>
      <w:r w:rsidRPr="0009119E">
        <w:fldChar w:fldCharType="separate"/>
      </w:r>
      <w:r w:rsidRPr="0009119E">
        <w:rPr>
          <w:vertAlign w:val="superscript"/>
        </w:rPr>
        <w:t>20,21</w:t>
      </w:r>
      <w:r w:rsidRPr="0009119E">
        <w:fldChar w:fldCharType="end"/>
      </w:r>
      <w:r w:rsidRPr="0009119E">
        <w:t>.</w:t>
      </w:r>
    </w:p>
    <w:p w14:paraId="52B81C14" w14:textId="77777777" w:rsidR="003562FC" w:rsidRPr="0009119E" w:rsidRDefault="00000000" w:rsidP="003562FC">
      <w:pPr>
        <w:numPr>
          <w:ilvl w:val="0"/>
          <w:numId w:val="4"/>
        </w:numPr>
      </w:pPr>
      <w:r w:rsidRPr="0009119E">
        <w:t>Number of days with &gt;20 daytime and &gt;7 overnight BP readings- AHA ABPM guidelines</w:t>
      </w:r>
      <w:r w:rsidRPr="0009119E">
        <w:fldChar w:fldCharType="begin"/>
      </w:r>
      <w:r w:rsidRPr="0009119E">
        <w:instrText xml:space="preserve"> ADDIN ZOTERO_ITEM CSL_CITATION {"citationID":"mEuL4O9D","properties":{"formattedCitation":"\\super 22\\nosupersub{}","plainCitation":"22","noteIndex":0},"citationItems":[{"id":835,"uris":["http://zotero.org/users/11635066/items/MI94QYCJ"],"itemData":{"id":835,"type":"article-journal","container-title":"Hypertension","DOI":"10.1161/HYPERTENSIONAHA.113.02148","issue":"6","note":"publisher: American Heart Association","page":"988-994","source":"ahajournals.org (Atypon)","title":"Ambulatory Blood Pressure Measurement","volume":"62","author":[{"family":"O’Brien","given":"Eoin"},{"family":"Parati","given":"Gianfranco"},{"family":"Stergiou","given":"George"}],"issued":{"date-parts":[["2013",12]]}}}],"schema":"https://github.com/citation-style-language/schema/raw/master/csl-citation.json"} </w:instrText>
      </w:r>
      <w:r w:rsidRPr="0009119E">
        <w:fldChar w:fldCharType="separate"/>
      </w:r>
      <w:r w:rsidRPr="0009119E">
        <w:rPr>
          <w:vertAlign w:val="superscript"/>
        </w:rPr>
        <w:t>22</w:t>
      </w:r>
      <w:r w:rsidRPr="0009119E">
        <w:fldChar w:fldCharType="end"/>
      </w:r>
      <w:r w:rsidRPr="0009119E">
        <w:t xml:space="preserve"> recommend least 20 readings during the daytime (09:00h-20:59h) and 7 overnight (01:00h-05:59h) for confident interpretation; assuming at least one reading every 30 minutes. The AHA recommends excluding rising (06:00h-08:59h) and retiring (21:00h-00:59h) periods from the calculations. We will therefore compute the number of days with &gt;20 daytime and &gt;7 overnight BP readings. We will also divide the daytime and overnight period into 30-min windows, and calculate what percentage of the windows had at least one reading.</w:t>
      </w:r>
    </w:p>
    <w:p w14:paraId="7C19FECF" w14:textId="77777777" w:rsidR="003562FC" w:rsidRDefault="003562FC" w:rsidP="003562FC">
      <w:pPr>
        <w:rPr>
          <w:b/>
          <w:u w:val="single"/>
        </w:rPr>
      </w:pPr>
    </w:p>
    <w:p w14:paraId="0C513959" w14:textId="77777777" w:rsidR="003562FC" w:rsidRPr="0009119E" w:rsidRDefault="00000000" w:rsidP="003562FC">
      <w:r w:rsidRPr="0009119E">
        <w:rPr>
          <w:b/>
          <w:u w:val="single"/>
        </w:rPr>
        <w:t>From participant feedback</w:t>
      </w:r>
      <w:r w:rsidRPr="0009119E">
        <w:t>:</w:t>
      </w:r>
    </w:p>
    <w:p w14:paraId="2311BF69" w14:textId="77777777" w:rsidR="003562FC" w:rsidRPr="0009119E" w:rsidRDefault="00000000" w:rsidP="003562FC">
      <w:r w:rsidRPr="0009119E">
        <w:t>We will administer the validated System Usability Scale</w:t>
      </w:r>
      <w:r w:rsidRPr="0009119E">
        <w:fldChar w:fldCharType="begin"/>
      </w:r>
      <w:r w:rsidRPr="0009119E">
        <w:instrText xml:space="preserve"> ADDIN ZOTERO_ITEM CSL_CITATION {"citationID":"aAEYFgMH","properties":{"formattedCitation":"\\super 23\\nosupersub{}","plainCitation":"23","noteIndex":0},"citationItems":[{"id":738,"uris":["http://zotero.org/users/11635066/items/5KR69VAR"],"itemData":{"id":738,"type":"article-journal","abstract":"The System Usability Scale (SUS) is the most widely used standardized questionnaire for the assessment of perceived usability. This review of the SUS covers its early history from inception in the 1980s through recent research and its future prospects. From relatively inauspicious beginnings, when its originator described it as a “quick and dirty usability scale,” it has proven to be quick but not “dirty.” It is likely that the SUS will continue to be a popular measurement of perceived usability for the foreseeable future. When researchers and practitioners need a measure of perceived usability, they should strongly consider using the SUS.","container-title":"International Journal of Human–Computer Interaction","DOI":"10.1080/10447318.2018.1455307","ISSN":"1044-7318","issue":"7","note":"publisher: Taylor &amp; Francis\n_eprint: https://doi.org/10.1080/10447318.2018.1455307","page":"577-590","source":"Taylor and Francis+NEJM","title":"The System Usability Scale: Past, Present, and Future","title-short":"The System Usability Scale","volume":"34","author":[{"family":"Lewis","given":"James R."}],"issued":{"date-parts":[["2018",7,3]]}}}],"schema":"https://github.com/citation-style-language/schema/raw/master/csl-citation.json"} </w:instrText>
      </w:r>
      <w:r w:rsidRPr="0009119E">
        <w:fldChar w:fldCharType="separate"/>
      </w:r>
      <w:r w:rsidRPr="0009119E">
        <w:rPr>
          <w:vertAlign w:val="superscript"/>
        </w:rPr>
        <w:t>23</w:t>
      </w:r>
      <w:r w:rsidRPr="0009119E">
        <w:fldChar w:fldCharType="end"/>
      </w:r>
      <w:r w:rsidRPr="0009119E">
        <w:t xml:space="preserve"> to participants at completion of each study visit to understand their experience with the digital devices used. Administering the survey at each study visit will capture valuable information on device feasibility over the course of pregnancy, identifying optimal and suboptimal timepoints for wearable device assessments for future studies.</w:t>
      </w:r>
    </w:p>
    <w:p w14:paraId="7AE8DBD5" w14:textId="77777777" w:rsidR="003562FC" w:rsidRPr="0009119E" w:rsidRDefault="00000000" w:rsidP="003562FC">
      <w:pPr>
        <w:numPr>
          <w:ilvl w:val="0"/>
          <w:numId w:val="21"/>
        </w:numPr>
      </w:pPr>
      <w:r w:rsidRPr="0009119E">
        <w:t>Participant feedback of CGM using System Usability Scale</w:t>
      </w:r>
    </w:p>
    <w:p w14:paraId="52467F87" w14:textId="77777777" w:rsidR="003562FC" w:rsidRPr="0009119E" w:rsidRDefault="00000000" w:rsidP="003562FC">
      <w:pPr>
        <w:numPr>
          <w:ilvl w:val="0"/>
          <w:numId w:val="21"/>
        </w:numPr>
      </w:pPr>
      <w:r w:rsidRPr="0009119E">
        <w:t>Participant feedback of actigraphy monitor using System Usability Scale</w:t>
      </w:r>
    </w:p>
    <w:p w14:paraId="75972F56" w14:textId="77777777" w:rsidR="003562FC" w:rsidRPr="0009119E" w:rsidRDefault="00000000" w:rsidP="003562FC">
      <w:pPr>
        <w:numPr>
          <w:ilvl w:val="0"/>
          <w:numId w:val="21"/>
        </w:numPr>
      </w:pPr>
      <w:r w:rsidRPr="0009119E">
        <w:t>Correlation between CGM and actigraphy monitor usability scores with glucose tolerance test and maternal, neonatal and outcomes.</w:t>
      </w:r>
    </w:p>
    <w:p w14:paraId="43FFF984" w14:textId="77777777" w:rsidR="003562FC" w:rsidRPr="0009119E" w:rsidRDefault="003562FC" w:rsidP="003562FC"/>
    <w:p w14:paraId="4E141FC8" w14:textId="77777777" w:rsidR="003562FC" w:rsidRPr="0009119E" w:rsidRDefault="00000000" w:rsidP="003562FC">
      <w:pPr>
        <w:pStyle w:val="Heading3"/>
        <w:spacing w:before="0" w:after="0"/>
        <w:rPr>
          <w:szCs w:val="20"/>
        </w:rPr>
      </w:pPr>
      <w:bookmarkStart w:id="26" w:name="_Toc24"/>
      <w:r w:rsidRPr="0009119E">
        <w:rPr>
          <w:szCs w:val="20"/>
        </w:rPr>
        <w:t>5.2.2 Secondary and Exploratory Outcome Variables</w:t>
      </w:r>
      <w:bookmarkEnd w:id="26"/>
    </w:p>
    <w:p w14:paraId="75142BE5" w14:textId="77777777" w:rsidR="003562FC" w:rsidRPr="0009119E" w:rsidRDefault="00000000" w:rsidP="003562FC">
      <w:r w:rsidRPr="0009119E">
        <w:t>Secondary outcomes will be a set of established glucose (from CGM), physical activity, sleep, and BP (from actigraphy monitor) assessment metrics:</w:t>
      </w:r>
    </w:p>
    <w:p w14:paraId="21E4F424" w14:textId="77777777" w:rsidR="003562FC" w:rsidRPr="0009119E" w:rsidRDefault="00000000" w:rsidP="003562FC">
      <w:r w:rsidRPr="0009119E">
        <w:t>From CGM:</w:t>
      </w:r>
    </w:p>
    <w:p w14:paraId="6776DDF8" w14:textId="77777777" w:rsidR="003562FC" w:rsidRPr="0009119E" w:rsidRDefault="00000000" w:rsidP="003562FC">
      <w:pPr>
        <w:numPr>
          <w:ilvl w:val="0"/>
          <w:numId w:val="5"/>
        </w:numPr>
      </w:pPr>
      <w:r w:rsidRPr="0009119E">
        <w:lastRenderedPageBreak/>
        <w:t>Average glucose (mg/dL)</w:t>
      </w:r>
    </w:p>
    <w:p w14:paraId="562E6B94" w14:textId="77777777" w:rsidR="003562FC" w:rsidRPr="0009119E" w:rsidRDefault="00000000" w:rsidP="003562FC">
      <w:pPr>
        <w:numPr>
          <w:ilvl w:val="0"/>
          <w:numId w:val="5"/>
        </w:numPr>
      </w:pPr>
      <w:r w:rsidRPr="0009119E">
        <w:t>Glucose variability, measured using the coefficient of variation (%)</w:t>
      </w:r>
    </w:p>
    <w:p w14:paraId="4DE1E99A" w14:textId="77777777" w:rsidR="003562FC" w:rsidRPr="0009119E" w:rsidRDefault="00000000" w:rsidP="003562FC">
      <w:pPr>
        <w:numPr>
          <w:ilvl w:val="0"/>
          <w:numId w:val="5"/>
        </w:numPr>
      </w:pPr>
      <w:r w:rsidRPr="0009119E">
        <w:t>Time in range measures: Time in 63-140 mg/dL (%) for all, daytime(06:00-23:59h), and overnight glucose readings (00:00-05:59h). Definitions of daytime and overnight are based on the International consensus guidelines on CGM data interpretation</w:t>
      </w:r>
      <w:r w:rsidRPr="0009119E">
        <w:fldChar w:fldCharType="begin"/>
      </w:r>
      <w:r w:rsidRPr="0009119E">
        <w:instrText xml:space="preserve"> ADDIN ZOTERO_ITEM CSL_CITATION {"citationID":"YyTLKMjR","properties":{"formattedCitation":"\\super 15\\nosupersub{}","plainCitation":"15","noteIndex":0},"citationItems":[{"id":104,"uris":["http://zotero.org/users/11635066/items/UJL8JNTZ"],"itemData":{"id":104,"type":"article-journal","abstract":"Randomised controlled trials and other prospective clinical studies for novel medical interventions in people with diabetes have traditionally reported HbA1c as the measure of average blood glucose levels for the 3 months preceding the HbA1c test date. The use of this measure highlights the long-established correlation between HbA1c and relative risk of diabetes complications; the change in the measure, before and after the therapeutic intervention, is used by regulators for the approval of medications for diabetes. However, with the increasing use of continuous glucose monitoring (CGM) in clinical practice, prospective clinical studies are also increasingly using CGM devices to collect data and evaluate glucose profiles among study participants, complementing HbA1c findings, and further assess the effects of therapeutic interventions on HbA1c. Data is collected by CGM devices at 1–5 min intervals, which obtains data on glycaemic excursions and periods of asymptomatic hypoglycaemia or hyperglycaemia (ie, details of glycaemic control that are not provided by HbA1c concentrations alone that are measured continuously and can be analysed in daily, weekly, or monthly timeframes). These CGM-derived metrics are the subject of standardised, internationally agreed reporting formats and should, therefore, be considered for use in all clinical studies in diabetes. The purpose of this consensus statement is to recommend the ways CGM data might be used in prospective clinical studies, either as a specified study endpoint or as supportive complementary glucose metrics, to provide clinical information that can be considered by investigators, regulators, companies, clinicians, and individuals with diabetes who are stakeholders in trial outcomes. In this consensus statement, we provide recommendations on how to optimise CGM-derived glucose data collection in clinical studies, including the specific glucose metrics and specific glucose metrics that should be evaluated. These recommendations have been endorsed by the American Association of Clinical Endocrinologists, the American Diabetes Association, the Association of Diabetes Care and Education Specialists, DiabetesIndia, the European Association for the Study of Diabetes, the International Society for Pediatric and Adolescent Diabetes, the Japanese Diabetes Society, and the Juvenile Diabetes Research Foundation. A standardised approach to CGM data collection and reporting in clinical trials will encourage the use of these metrics and enhance the interpretability of CGM data, which could provide useful information other than HbA1c for informing therapeutic and treatment decisions, particularly related to hypoglycaemia, postprandial hyperglycaemia, and glucose variability.","container-title":"The Lancet Diabetes &amp; Endocrinology","DOI":"10.1016/S2213-8587(22)00319-9","ISSN":"2213-8587","issue":"1","journalAbbreviation":"The Lancet Diabetes &amp; Endocrinology","language":"en","page":"42-57","source":"ScienceDirect","title":"Continuous glucose monitoring and metrics for clinical trials: an international consensus statement","title-short":"Continuous glucose monitoring and metrics for clinical trials","volume":"11","author":[{"family":"Battelino","given":"Tadej"},{"family":"Alexander","given":"Charles M"},{"family":"Amiel","given":"Stephanie A"},{"family":"Arreaza-Rubin","given":"Guillermo"},{"family":"Beck","given":"Roy W"},{"family":"Bergenstal","given":"Richard M"},{"family":"Buckingham","given":"Bruce A"},{"family":"Carroll","given":"James"},{"family":"Ceriello","given":"Antonio"},{"family":"Chow","given":"Elaine"},{"family":"Choudhary","given":"Pratik"},{"family":"Close","given":"Kelly"},{"family":"Danne","given":"Thomas"},{"family":"Dutta","given":"Sanjoy"},{"family":"Gabbay","given":"Robert"},{"family":"Garg","given":"Satish"},{"family":"Heverly","given":"Julie"},{"family":"Hirsch","given":"Irl B"},{"family":"Kader","given":"Tina"},{"family":"Kenney","given":"Julia"},{"family":"Kovatchev","given":"Boris"},{"family":"Laffel","given":"Lori"},{"family":"Maahs","given":"David"},{"family":"Mathieu","given":"Chantal"},{"family":"Mauricio","given":"Dídac"},{"family":"Nimri","given":"Revital"},{"family":"Nishimura","given":"Rimei"},{"family":"Scharf","given":"Mauro"},{"family":"Del Prato","given":"Stefano"},{"family":"Renard","given":"Eric"},{"family":"Rosenstock","given":"Julio"},{"family":"Saboo","given":"Banshi"},{"family":"Ueki","given":"Kohjiro"},{"family":"Umpierrez","given":"Guillermo E"},{"family":"Weinzimer","given":"Stuart A"},{"family":"Phillip","given":"Moshe"}],"issued":{"date-parts":[["2023",1,1]]}}}],"schema":"https://github.com/citation-style-language/schema/raw/master/csl-citation.json"} </w:instrText>
      </w:r>
      <w:r w:rsidRPr="0009119E">
        <w:fldChar w:fldCharType="separate"/>
      </w:r>
      <w:r w:rsidRPr="0009119E">
        <w:rPr>
          <w:vertAlign w:val="superscript"/>
        </w:rPr>
        <w:t>15</w:t>
      </w:r>
      <w:r w:rsidRPr="0009119E">
        <w:fldChar w:fldCharType="end"/>
      </w:r>
      <w:r w:rsidRPr="0009119E">
        <w:t>.</w:t>
      </w:r>
    </w:p>
    <w:p w14:paraId="6ECB94CE" w14:textId="77777777" w:rsidR="003562FC" w:rsidRPr="0009119E" w:rsidRDefault="00000000" w:rsidP="003562FC">
      <w:r w:rsidRPr="0009119E">
        <w:t>From actigraphy monitor:</w:t>
      </w:r>
    </w:p>
    <w:p w14:paraId="13189734" w14:textId="77777777" w:rsidR="003562FC" w:rsidRPr="0009119E" w:rsidRDefault="00000000" w:rsidP="003562FC">
      <w:pPr>
        <w:numPr>
          <w:ilvl w:val="0"/>
          <w:numId w:val="6"/>
        </w:numPr>
      </w:pPr>
      <w:r w:rsidRPr="0009119E">
        <w:t>Average daily step count</w:t>
      </w:r>
    </w:p>
    <w:p w14:paraId="316D5CD0" w14:textId="77777777" w:rsidR="003562FC" w:rsidRPr="0009119E" w:rsidRDefault="00000000" w:rsidP="003562FC">
      <w:pPr>
        <w:numPr>
          <w:ilvl w:val="0"/>
          <w:numId w:val="6"/>
        </w:numPr>
      </w:pPr>
      <w:r w:rsidRPr="0009119E">
        <w:t>Average sedentary time per week (minutes)</w:t>
      </w:r>
    </w:p>
    <w:p w14:paraId="4B8E76DF" w14:textId="77777777" w:rsidR="003562FC" w:rsidRPr="0009119E" w:rsidRDefault="00000000" w:rsidP="003562FC">
      <w:pPr>
        <w:numPr>
          <w:ilvl w:val="0"/>
          <w:numId w:val="6"/>
        </w:numPr>
      </w:pPr>
      <w:r w:rsidRPr="0009119E">
        <w:t>Average moderate to vigorous physical activity per week (minutes)</w:t>
      </w:r>
    </w:p>
    <w:p w14:paraId="337324A6" w14:textId="77777777" w:rsidR="003562FC" w:rsidRPr="0009119E" w:rsidRDefault="00000000" w:rsidP="003562FC">
      <w:pPr>
        <w:numPr>
          <w:ilvl w:val="0"/>
          <w:numId w:val="6"/>
        </w:numPr>
      </w:pPr>
      <w:r w:rsidRPr="0009119E">
        <w:t>Average daily duration of sleep (hours)</w:t>
      </w:r>
    </w:p>
    <w:p w14:paraId="6351D3C3" w14:textId="77777777" w:rsidR="003562FC" w:rsidRPr="0009119E" w:rsidRDefault="00000000" w:rsidP="003562FC">
      <w:pPr>
        <w:numPr>
          <w:ilvl w:val="0"/>
          <w:numId w:val="6"/>
        </w:numPr>
      </w:pPr>
      <w:r w:rsidRPr="0009119E">
        <w:t>Average systolic and diastolic blood pressure for all, daytime(09:00-21:00h), and overnight BP readings (01:00-05:59h)</w:t>
      </w:r>
    </w:p>
    <w:p w14:paraId="5535C96A" w14:textId="77777777" w:rsidR="003562FC" w:rsidRDefault="003562FC" w:rsidP="003562FC"/>
    <w:p w14:paraId="0B7CBEBA" w14:textId="77777777" w:rsidR="003562FC" w:rsidRDefault="00000000" w:rsidP="003562FC">
      <w:r w:rsidRPr="0009119E">
        <w:t>Exploratory outcomes will include novel AI metrics and standard maternal and neonatal outcomes</w:t>
      </w:r>
      <w:bookmarkStart w:id="27" w:name="_Toc25"/>
      <w:r w:rsidRPr="0009119E">
        <w:t xml:space="preserve"> (detailed in 6.4.2 Planned Analysis section)</w:t>
      </w:r>
      <w:r>
        <w:t>.</w:t>
      </w:r>
    </w:p>
    <w:p w14:paraId="4BADA988" w14:textId="77777777" w:rsidR="003562FC" w:rsidRPr="0009119E" w:rsidRDefault="003562FC" w:rsidP="003562FC"/>
    <w:p w14:paraId="604D9694" w14:textId="77777777" w:rsidR="003562FC" w:rsidRPr="0009119E" w:rsidRDefault="00000000" w:rsidP="003562FC">
      <w:pPr>
        <w:pStyle w:val="Heading2"/>
        <w:spacing w:before="0" w:after="0"/>
        <w:rPr>
          <w:rFonts w:cs="Arial"/>
          <w:szCs w:val="20"/>
        </w:rPr>
      </w:pPr>
      <w:r w:rsidRPr="0009119E">
        <w:rPr>
          <w:rFonts w:cs="Arial"/>
          <w:szCs w:val="20"/>
        </w:rPr>
        <w:t>5.3 Study Population</w:t>
      </w:r>
      <w:bookmarkEnd w:id="27"/>
    </w:p>
    <w:p w14:paraId="1B96933F" w14:textId="77777777" w:rsidR="003562FC" w:rsidRPr="0009119E" w:rsidRDefault="00000000" w:rsidP="003562FC">
      <w:pPr>
        <w:pStyle w:val="Heading3"/>
        <w:spacing w:before="0" w:after="0"/>
        <w:rPr>
          <w:szCs w:val="20"/>
        </w:rPr>
      </w:pPr>
      <w:bookmarkStart w:id="28" w:name="_Toc26"/>
      <w:r w:rsidRPr="0009119E">
        <w:rPr>
          <w:szCs w:val="20"/>
        </w:rPr>
        <w:t>5.3.1 Number of Participants</w:t>
      </w:r>
      <w:bookmarkEnd w:id="28"/>
    </w:p>
    <w:p w14:paraId="7A9B8571" w14:textId="77777777" w:rsidR="003562FC" w:rsidRDefault="00000000" w:rsidP="003562FC">
      <w:r w:rsidRPr="0009119E">
        <w:t>The goal for the study is to prospectively enroll 4</w:t>
      </w:r>
      <w:r>
        <w:t>3</w:t>
      </w:r>
      <w:r w:rsidRPr="0009119E">
        <w:t xml:space="preserve"> participants. </w:t>
      </w:r>
    </w:p>
    <w:p w14:paraId="3B5B2AAD" w14:textId="77777777" w:rsidR="003562FC" w:rsidRPr="0009119E" w:rsidRDefault="003562FC" w:rsidP="003562FC"/>
    <w:p w14:paraId="3380F49B" w14:textId="77777777" w:rsidR="003562FC" w:rsidRPr="0009119E" w:rsidRDefault="00000000" w:rsidP="003562FC">
      <w:pPr>
        <w:pStyle w:val="Heading3"/>
        <w:spacing w:before="0" w:after="0"/>
        <w:rPr>
          <w:szCs w:val="20"/>
        </w:rPr>
      </w:pPr>
      <w:bookmarkStart w:id="29" w:name="_Toc27"/>
      <w:r w:rsidRPr="0009119E">
        <w:rPr>
          <w:szCs w:val="20"/>
        </w:rPr>
        <w:t>5.3.2 Eligibility Criteria/Vulnerable Populations</w:t>
      </w:r>
      <w:bookmarkEnd w:id="29"/>
    </w:p>
    <w:p w14:paraId="7534BC44" w14:textId="77777777" w:rsidR="003562FC" w:rsidRDefault="00000000" w:rsidP="003562FC">
      <w:r w:rsidRPr="0009119E">
        <w:rPr>
          <w:b/>
          <w:u w:val="single"/>
        </w:rPr>
        <w:t>Inclusion criteria:</w:t>
      </w:r>
      <w:r w:rsidRPr="0009119E">
        <w:t xml:space="preserve"> We will recruit patients ≥18 years of age, who are receiving care at NYULH OB-GYN clinic, who have access to any type of smartphone, and are willing to wear the chosen wearables. We will include 5 patients with low and 35 patients with high likelihood of developing HDP or GDM, based on having any one of these HDP or GDM risk factors</w:t>
      </w:r>
      <w:r w:rsidRPr="0009119E">
        <w:fldChar w:fldCharType="begin"/>
      </w:r>
      <w:r w:rsidRPr="0009119E">
        <w:instrText xml:space="preserve"> ADDIN ZOTERO_ITEM CSL_CITATION {"citationID":"UdMr116B","properties":{"formattedCitation":"\\super 7,24,25\\nosupersub{}","plainCitation":"7,24,25","noteIndex":0},"citationItems":[{"id":"rWXnUXcb/a5wnOJX3","uris":["http://zotero.org/users/6694618/items/BKPDNZU4"],"itemData":{"id":1652,"type":"article-journal","abstract":"Globally, hypertensive disorders of pregnancy are one of the main causes of maternal death. The American College of Obstetricians and Gynecologists has released a practice bulletin to outline diagnosis and treatment recommendations for these conditions.","container-title":"American Family Physician","issue":"10","journalAbbreviation":"afp","language":"en-US","page":"649-650","source":"www.aafp.org","title":"Gestational Hypertension and Preeclampsia: A Practice Bulletin from ACOG","title-short":"Gestational Hypertension and Preeclampsia","volume":"100","author":[{"family":"Croke","given":"Lisa"}],"issued":{"date-parts":[["2019",11,15]]}}},{"id":"rWXnUXcb/3yHfGfWp","uris":["http://zotero.org/users/6694618/items/TAKRX4KL"],"itemData":{"id":1682,"type":"article-journal","abstract":"Background: The underlying causes of gestational diabetes mellitus (GDM) are important because they are effective for the diagnosis and prevention of this condition. The aim of this study was to identify the risk factors for GDM and the possible etiological agents. Materials and Methods: This case-control study was conducted with 100 women with GDM and 100 healthy pregnant women at a tertiary care hospital, affiliated to Babol University. GDM was identified by impaired oral glucose tolerance test based on the Carpenter and Coustan criteria. Healthy women were randomly selected from the prenatal health care clinic of the same center and were matched to gestational age of 24 to 28 weeks. Descriptive and inferential statistics were used for data analysis via the SPSS software. Results: After adjusting variables, multivariate analysis identified 4 significant risk factors of GDM, including prepregnancy low physical activity (odds ratio [OR] = 2.85, 95% confidence interval [CI]= 0.97-8.34), advanced maternal age (OR = 1.24, 95% CI = 1.13-1.35), body mass index </w:instrText>
      </w:r>
      <w:r w:rsidRPr="0009119E">
        <w:rPr>
          <w:rFonts w:ascii="Cambria Math" w:hAnsi="Cambria Math" w:cs="Cambria Math"/>
        </w:rPr>
        <w:instrText>⩾</w:instrText>
      </w:r>
      <w:r w:rsidRPr="0009119E">
        <w:instrText xml:space="preserve"> 30 kg/m2 (OR = 1.10, 95% CI = 1.02-1.20), and family history of diabetes mellitus (OR = 5.62, 95% CI = 2.26-13.96). Conclusion: We observed significant associations between low prepregnancy physical activity and obesity with GDM risk. Thus the finding of this study can help devise strategies for the prevention of GDM.","container-title":"American Journal of Lifestyle Medicine","DOI":"10.1177/1559827618791980","ISSN":"1559-8276","issue":"2","journalAbbreviation":"Am J Lifestyle Med","note":"PMID: 33786034\nPMCID: PMC7958210","page":"184-190","source":"PubMed Central","title":"Risk Factors for Gestational Diabetes Mellitus: A Case-Control Study","title-short":"Risk Factors for Gestational Diabetes Mellitus","volume":"15","author":[{"family":"Amiri","given":"Fatemeh Nasiri"},{"family":"Faramarzi","given":"Mahbobeh"},{"family":"Bakhtiari","given":"Afsaneh"},{"family":"Omidvar","given":"Shabnam"}],"issued":{"date-parts":[["2018",8,9]]}}},{"id":"rWXnUXcb/LjLvLstO","uris":["http://zotero.org/users/6694618/items/TTEHIBL6"],"itemData":{"id":1685,"type":"article-journal","abstract":"A cross-sectional study was conducted to the reported factors and assesses possible protective factors for pregnancy-induced hypertension (PIH) in China. The data of pregnant women who delivered between October 2016 and September 2017 were collected from a birth registry. The primary outcome was the occurrence of PIH. Secondary outcomes were delivery before 34 gestational weeks and other adverse obstetric outcomes of PIH. Among the 99 535 women enrolled, 5731 women (5.8%) developed PIH. BMI had a positive correlation with the primary and two secondary outcomes (adjusted OR = 2.05, 2.56, 1.87, respectively, for overweight; adjusted OR = 4.44, 3.90, and 2.63, respectively, for obesity). Otherwise, calcium supplementation during pregnancy was a potential protective factor for those outcomes (adjusted OR = 0.87, 0.14, and 0.44, respectively). These results provide a basis for PIH prevention strategy in the Chinese public health sector. Calcium supplementation and lowering the BMI might have the potential benefit on reducing the prevalence of PIH in selected women.","container-title":"The Journal of Clinical Hypertension","DOI":"10.1111/jch.13541","ISSN":"1751-7176","issue":"5","language":"en","note":"_eprint: https://onlinelibrary.wiley.com/doi/pdf/10.1111/jch.13541","page":"618-623","source":"Wiley Online Library","title":"Risk factors and potential protective factors of pregnancy-induced hypertension in China: A cross-sectional study","title-short":"Risk factors and potential protective factors of pregnancy-induced hypertension in China","volume":"21","author":[{"family":"Zhuang","given":"Caixia"},{"family":"Gao","given":"Jinsong"},{"family":"Liu","given":"Juntao"},{"family":"Wang","given":"Xietong"},{"family":"He","given":"Jing"},{"family":"Sun","given":"Jingxia"},{"family":"Liu","given":"Xiaowei"},{"family":"Liao","given":"Shixiu"}],"issued":{"date-parts":[["2019"]]}}}],"schema":"https://github.com/citation-style-language/schema/raw/master/csl-citation.json"} </w:instrText>
      </w:r>
      <w:r w:rsidRPr="0009119E">
        <w:fldChar w:fldCharType="separate"/>
      </w:r>
      <w:r w:rsidRPr="0009119E">
        <w:rPr>
          <w:vertAlign w:val="superscript"/>
        </w:rPr>
        <w:t>7,24,25</w:t>
      </w:r>
      <w:r w:rsidRPr="0009119E">
        <w:fldChar w:fldCharType="end"/>
      </w:r>
      <w:r w:rsidRPr="0009119E">
        <w:t>: (1) Obesity (BMI&gt;30 kg/m</w:t>
      </w:r>
      <w:r w:rsidRPr="0009119E">
        <w:rPr>
          <w:vertAlign w:val="superscript"/>
        </w:rPr>
        <w:t>2</w:t>
      </w:r>
      <w:r w:rsidRPr="0009119E">
        <w:t>) as measured at first pre-natal visit; (2) Prior pregnancy with HDP or GDM; (3) Elevated BP or stage I/II hypertension (SBP &gt;120 mmHg or DBP &gt;80 mmHg)</w:t>
      </w:r>
      <w:r w:rsidRPr="0009119E">
        <w:fldChar w:fldCharType="begin"/>
      </w:r>
      <w:r w:rsidRPr="0009119E">
        <w:instrText xml:space="preserve"> ADDIN ZOTERO_ITEM CSL_CITATION {"citationID":"hr44Z2Cx","properties":{"formattedCitation":"\\super 26\\nosupersub{}","plainCitation":"26","noteIndex":0},"citationItems":[{"id":"rWXnUXcb/7GtnvWRn","uris":["http://zotero.org/users/6694618/items/5NIHR463"],"itemData":{"id":1723,"type":"article-journal","container-title":"Journal of the American College of Cardiology","DOI":"10.1016/j.jacc.2017.11.006","issue":"19","note":"publisher: American College of Cardiology Foundation","page":"e127-e248","source":"jacc.org (Atypon)","title":"2017 ACC/AHA/AAPA/ABC/ACPM/AGS/APhA/ASH/ASPC/NMA/PCNA Guideline for the Prevention, Detection, Evaluation, and Management of High Blood Pressure in Adults","volume":"71","author":[{"family":"Whelton","given":"Paul K."},{"family":"Carey","given":"Robert M."},{"family":"Aronow","given":"Wilbert S."},{"family":"Casey","given":"Donald E."},{"family":"Collins","given":"Karen J."},{"family":"Dennison","given":"Himmelfarb Cheryl"},{"family":"DePalma","given":"Sondra M."},{"family":"Gidding","given":"Samuel"},{"family":"Jamerson","given":"Kenneth A."},{"family":"Jones","given":"Daniel W."},{"family":"MacLaughlin","given":"Eric J."},{"family":"Muntner","given":"Paul"},{"family":"Ovbiagele","given":"Bruce"},{"family":"Smith","given":"Sidney C."},{"family":"Spencer","given":"Crystal C."},{"family":"Stafford","given":"Randall S."},{"family":"Taler","given":"Sandra J."},{"family":"Thomas","given":"Randal J."},{"family":"Williams","given":"Kim A."},{"family":"Williamson","given":"Jeff D."},{"family":"Wright","given":"Jackson T."}],"issued":{"date-parts":[["2018",5,15]]}}}],"schema":"https://github.com/citation-style-language/schema/raw/master/csl-citation.json"} </w:instrText>
      </w:r>
      <w:r w:rsidRPr="0009119E">
        <w:fldChar w:fldCharType="separate"/>
      </w:r>
      <w:r w:rsidRPr="0009119E">
        <w:rPr>
          <w:vertAlign w:val="superscript"/>
        </w:rPr>
        <w:t>26</w:t>
      </w:r>
      <w:r w:rsidRPr="0009119E">
        <w:fldChar w:fldCharType="end"/>
      </w:r>
      <w:r w:rsidRPr="0009119E">
        <w:t>; or (4) Prediabetes (ICD code-indicated or self-reported, HbA1c 5.7 to 6.4% or fasting plasma glucose 100-125 mg/dL within previous 1 year)</w:t>
      </w:r>
      <w:r w:rsidRPr="0009119E">
        <w:fldChar w:fldCharType="begin"/>
      </w:r>
      <w:r w:rsidRPr="0009119E">
        <w:instrText xml:space="preserve"> ADDIN ZOTERO_ITEM CSL_CITATION {"citationID":"jm1DjPi2","properties":{"formattedCitation":"\\super 27\\nosupersub{}","plainCitation":"27","noteIndex":0},"citationItems":[{"id":"rWXnUXcb/HI5VTVdi","uris":["http://zotero.org/users/6694618/items/SM6TGPYN"],"itemData":{"id":1725,"type":"article-journal","abstract":"The American Diabetes Association’s (ADA’s) Standards of Care in Diabetes is updated and published annually in a supplement to the January issue of Diabetes Care. The Standards of Care is developed by the ADA’s multidisciplinary Professional Practice Committee, which comprises expert diabetes health care professionals (HCPs). It includes the most current evidence-based recommendations for diagnosing and treating adults and children with all forms of diabetes. ADA’s grading system uses A, B, C, or E to show the evidence level that supports each recommendation. A—Clear evidence from well-conducted, generalizable randomized controlled trials that are adequately poweredB—Supportive evidence from well-conducted cohort studiesC—Supportive evidence from poorly controlled or uncontrolled studiesE—Expert consensus or clinical experience","container-title":"Clinical Diabetes","DOI":"10.2337/cd23-as01","ISSN":"0891-8929","issue":"1","journalAbbreviation":"Clinical Diabetes","page":"4-31","source":"Silverchair","title":"Standards of Care in Diabetes—2023 Abridged for Primary Care Providers","volume":"41","author":[{"literal":"American Diabetes Association"}],"issued":{"date-parts":[["2022",12,12]]}}}],"schema":"https://github.com/citation-style-language/schema/raw/master/csl-citation.json"} </w:instrText>
      </w:r>
      <w:r w:rsidRPr="0009119E">
        <w:fldChar w:fldCharType="separate"/>
      </w:r>
      <w:r w:rsidRPr="0009119E">
        <w:rPr>
          <w:vertAlign w:val="superscript"/>
        </w:rPr>
        <w:t>27</w:t>
      </w:r>
      <w:r w:rsidRPr="0009119E">
        <w:fldChar w:fldCharType="end"/>
      </w:r>
      <w:r w:rsidRPr="0009119E">
        <w:t>.</w:t>
      </w:r>
    </w:p>
    <w:p w14:paraId="0327745E" w14:textId="77777777" w:rsidR="003562FC" w:rsidRPr="0009119E" w:rsidRDefault="003562FC" w:rsidP="003562FC"/>
    <w:p w14:paraId="1BA7F0C6" w14:textId="77777777" w:rsidR="003562FC" w:rsidRDefault="00000000" w:rsidP="003562FC">
      <w:r w:rsidRPr="0009119E">
        <w:rPr>
          <w:b/>
          <w:u w:val="single"/>
        </w:rPr>
        <w:t>Exclusion criteria</w:t>
      </w:r>
      <w:r w:rsidRPr="0009119E">
        <w:rPr>
          <w:b/>
        </w:rPr>
        <w:t>:</w:t>
      </w:r>
      <w:r w:rsidRPr="0009119E">
        <w:t xml:space="preserve"> Participants will be excluded for any of the following: 1) pre-gestational diabetes</w:t>
      </w:r>
      <w:r w:rsidRPr="0009119E">
        <w:fldChar w:fldCharType="begin"/>
      </w:r>
      <w:r w:rsidRPr="0009119E">
        <w:instrText xml:space="preserve"> ADDIN ZOTERO_ITEM CSL_CITATION {"citationID":"3QTlURj8","properties":{"formattedCitation":"\\super 27\\nosupersub{}","plainCitation":"27","noteIndex":0},"citationItems":[{"id":"rWXnUXcb/HI5VTVdi","uris":["http://zotero.org/users/6694618/items/SM6TGPYN"],"itemData":{"id":1725,"type":"article-journal","abstract":"The American Diabetes Association’s (ADA’s) Standards of Care in Diabetes is updated and published annually in a supplement to the January issue of Diabetes Care. The Standards of Care is developed by the ADA’s multidisciplinary Professional Practice Committee, which comprises expert diabetes health care professionals (HCPs). It includes the most current evidence-based recommendations for diagnosing and treating adults and children with all forms of diabetes. ADA’s grading system uses A, B, C, or E to show the evidence level that supports each recommendation. A—Clear evidence from well-conducted, generalizable randomized controlled trials that are adequately poweredB—Supportive evidence from well-conducted cohort studiesC—Supportive evidence from poorly controlled or uncontrolled studiesE—Expert consensus or clinical experience","container-title":"Clinical Diabetes","DOI":"10.2337/cd23-as01","ISSN":"0891-8929","issue":"1","journalAbbreviation":"Clinical Diabetes","page":"4-31","source":"Silverchair","title":"Standards of Care in Diabetes—2023 Abridged for Primary Care Providers","volume":"41","author":[{"literal":"American Diabetes Association"}],"issued":{"date-parts":[["2022",12,12]]}}}],"schema":"https://github.com/citation-style-language/schema/raw/master/csl-citation.json"} </w:instrText>
      </w:r>
      <w:r w:rsidRPr="0009119E">
        <w:fldChar w:fldCharType="separate"/>
      </w:r>
      <w:r w:rsidRPr="0009119E">
        <w:rPr>
          <w:vertAlign w:val="superscript"/>
        </w:rPr>
        <w:t>27</w:t>
      </w:r>
      <w:r w:rsidRPr="0009119E">
        <w:fldChar w:fldCharType="end"/>
      </w:r>
      <w:r w:rsidRPr="0009119E">
        <w:t xml:space="preserve">; 2) planned use of glucose-lowering medications during pregnancy (e.g. insulin); 3) current use of any oral form of steroid medication; 4) contraindication to glucose screening; 5) known allergy to medical grade adhesives; </w:t>
      </w:r>
      <w:r w:rsidR="007617FC">
        <w:t>6) non-singleton pregnancies</w:t>
      </w:r>
      <w:r w:rsidR="00974329">
        <w:t xml:space="preserve"> </w:t>
      </w:r>
      <w:r w:rsidR="00EA39BC" w:rsidRPr="0009119E">
        <w:fldChar w:fldCharType="begin"/>
      </w:r>
      <w:r w:rsidR="00EA39BC" w:rsidRPr="0009119E">
        <w:instrText xml:space="preserve"> ADDIN ZOTERO_ITEM CSL_CITATION {"citationID":"3QTlURj8","properties":{"formattedCitation":"\\super 27\\nosupersub{}","plainCitation":"27","noteIndex":0},"citationItems":[{"id":"rWXnUXcb/HI5VTVdi","uris":["http://zotero.org/users/6694618/items/SM6TGPYN"],"itemData":{"id":1725,"type":"article-journal","abstract":"The American Diabetes Association’s (ADA’s) Standards of Care in Diabetes is updated and published annually in a supplement to the January issue of Diabetes Care. The Standards of Care is developed by the ADA’s multidisciplinary Professional Practice Committee, which comprises expert diabetes health care professionals (HCPs). It includes the most current evidence-based recommendations for diagnosing and treating adults and children with all forms of diabetes. ADA’s grading system uses A, B, C, or E to show the evidence level that supports each recommendation. A—Clear evidence from well-conducted, generalizable randomized controlled trials that are adequately poweredB—Supportive evidence from well-conducted cohort studiesC—Supportive evidence from poorly controlled or uncontrolled studiesE—Expert consensus or clinical experience","container-title":"Clinical Diabetes","DOI":"10.2337/cd23-as01","ISSN":"0891-8929","issue":"1","journalAbbreviation":"Clinical Diabetes","page":"4-31","source":"Silverchair","title":"Standards of Care in Diabetes—2023 Abridged for Primary Care Providers","volume":"41","author":[{"literal":"American Diabetes Association"}],"issued":{"date-parts":[["2022",12,12]]}}}],"schema":"https://github.com/citation-style-language/schema/raw/master/csl-citation.json"} </w:instrText>
      </w:r>
      <w:r w:rsidR="00EA39BC" w:rsidRPr="0009119E">
        <w:fldChar w:fldCharType="separate"/>
      </w:r>
      <w:r w:rsidR="00974329">
        <w:rPr>
          <w:vertAlign w:val="superscript"/>
        </w:rPr>
        <w:t>52</w:t>
      </w:r>
      <w:r w:rsidR="00EA39BC" w:rsidRPr="0009119E">
        <w:fldChar w:fldCharType="end"/>
      </w:r>
      <w:r w:rsidR="00EA39BC">
        <w:t>;</w:t>
      </w:r>
      <w:r w:rsidR="007617FC">
        <w:t xml:space="preserve"> </w:t>
      </w:r>
      <w:r w:rsidRPr="0009119E">
        <w:t>or 6) unableor unwilling to provide informed consent.</w:t>
      </w:r>
    </w:p>
    <w:p w14:paraId="14CC9F5F" w14:textId="77777777" w:rsidR="003562FC" w:rsidRPr="0009119E" w:rsidRDefault="003562FC" w:rsidP="003562FC"/>
    <w:p w14:paraId="090AB5EA" w14:textId="77777777" w:rsidR="003562FC" w:rsidRPr="0009119E" w:rsidRDefault="00000000" w:rsidP="003562FC">
      <w:r w:rsidRPr="0009119E">
        <w:rPr>
          <w:b/>
          <w:u w:val="single"/>
        </w:rPr>
        <w:t>Vulnerable Populations</w:t>
      </w:r>
      <w:r w:rsidRPr="0009119E">
        <w:t>: Pregnant individuals will be the patient population for this study. The study procedures pose no more than minimal risk to the pregnant patients and the fetus. This is not an intervention study, with interpretation of blinded data not impacting clinical care.</w:t>
      </w:r>
    </w:p>
    <w:p w14:paraId="7AF18089" w14:textId="77777777" w:rsidR="003562FC" w:rsidRPr="0009119E" w:rsidRDefault="003562FC" w:rsidP="003562FC"/>
    <w:p w14:paraId="1DDD0042" w14:textId="77777777" w:rsidR="003562FC" w:rsidRPr="00BD108A" w:rsidRDefault="00000000" w:rsidP="003562FC">
      <w:pPr>
        <w:pStyle w:val="Heading1"/>
        <w:numPr>
          <w:ilvl w:val="0"/>
          <w:numId w:val="6"/>
        </w:numPr>
        <w:tabs>
          <w:tab w:val="clear" w:pos="720"/>
        </w:tabs>
        <w:spacing w:after="0"/>
        <w:ind w:left="0" w:firstLine="0"/>
        <w:rPr>
          <w:rFonts w:cs="Arial"/>
          <w:sz w:val="20"/>
          <w:szCs w:val="20"/>
        </w:rPr>
      </w:pPr>
      <w:bookmarkStart w:id="30" w:name="_Toc28"/>
      <w:r w:rsidRPr="0009119E">
        <w:rPr>
          <w:rFonts w:cs="Arial"/>
          <w:sz w:val="20"/>
          <w:szCs w:val="20"/>
        </w:rPr>
        <w:lastRenderedPageBreak/>
        <w:t>Study Methods / Procedures</w:t>
      </w:r>
      <w:bookmarkEnd w:id="30"/>
    </w:p>
    <w:p w14:paraId="425F9A73" w14:textId="77777777" w:rsidR="003562FC" w:rsidRDefault="00000000" w:rsidP="003562FC">
      <w:pPr>
        <w:pStyle w:val="Heading2"/>
        <w:spacing w:before="0" w:after="0"/>
        <w:jc w:val="center"/>
        <w:rPr>
          <w:rFonts w:cs="Arial"/>
          <w:szCs w:val="20"/>
        </w:rPr>
      </w:pPr>
      <w:bookmarkStart w:id="31" w:name="_Toc29"/>
      <w:r w:rsidRPr="0009119E">
        <w:rPr>
          <w:rFonts w:cs="Arial"/>
          <w:noProof/>
          <w:szCs w:val="20"/>
        </w:rPr>
        <w:drawing>
          <wp:inline distT="0" distB="0" distL="0" distR="0" wp14:anchorId="23EC21A7" wp14:editId="34D3C468">
            <wp:extent cx="4486275" cy="15811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4486275" cy="1581150"/>
                    </a:xfrm>
                    <a:prstGeom prst="rect">
                      <a:avLst/>
                    </a:prstGeom>
                    <a:noFill/>
                    <a:ln>
                      <a:noFill/>
                    </a:ln>
                  </pic:spPr>
                </pic:pic>
              </a:graphicData>
            </a:graphic>
          </wp:inline>
        </w:drawing>
      </w:r>
    </w:p>
    <w:p w14:paraId="68B509A3" w14:textId="77777777" w:rsidR="003562FC" w:rsidRDefault="00000000" w:rsidP="003562FC">
      <w:pPr>
        <w:pStyle w:val="Heading2"/>
        <w:spacing w:before="0" w:after="0"/>
        <w:jc w:val="center"/>
        <w:rPr>
          <w:rFonts w:cs="Arial"/>
          <w:szCs w:val="20"/>
        </w:rPr>
      </w:pPr>
      <w:r w:rsidRPr="0009119E">
        <w:rPr>
          <w:rFonts w:cs="Arial"/>
          <w:noProof/>
          <w:szCs w:val="20"/>
        </w:rPr>
        <mc:AlternateContent>
          <mc:Choice Requires="wps">
            <w:drawing>
              <wp:inline distT="0" distB="0" distL="0" distR="0" wp14:anchorId="3B22A139" wp14:editId="3A8FE093">
                <wp:extent cx="4486275" cy="675640"/>
                <wp:effectExtent l="0" t="0" r="0" b="0"/>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86275" cy="6756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EFFBA2C" w14:textId="77777777" w:rsidR="00EA39BC" w:rsidRPr="00E04CE5" w:rsidRDefault="00000000" w:rsidP="003562FC">
                            <w:pPr>
                              <w:pStyle w:val="Caption"/>
                              <w:rPr>
                                <w:b/>
                                <w:noProof/>
                                <w:color w:val="auto"/>
                                <w:sz w:val="22"/>
                                <w:szCs w:val="33"/>
                              </w:rPr>
                            </w:pPr>
                            <w:r w:rsidRPr="00E04CE5">
                              <w:rPr>
                                <w:color w:val="auto"/>
                              </w:rPr>
                              <w:t xml:space="preserve">Figure </w:t>
                            </w:r>
                            <w:r w:rsidRPr="00E04CE5">
                              <w:rPr>
                                <w:color w:val="auto"/>
                              </w:rPr>
                              <w:fldChar w:fldCharType="begin"/>
                            </w:r>
                            <w:r w:rsidRPr="00E04CE5">
                              <w:rPr>
                                <w:color w:val="auto"/>
                              </w:rPr>
                              <w:instrText xml:space="preserve"> SEQ Figure \* ARABIC </w:instrText>
                            </w:r>
                            <w:r w:rsidRPr="00E04CE5">
                              <w:rPr>
                                <w:color w:val="auto"/>
                              </w:rPr>
                              <w:fldChar w:fldCharType="separate"/>
                            </w:r>
                            <w:r w:rsidRPr="00E04CE5">
                              <w:rPr>
                                <w:noProof/>
                                <w:color w:val="auto"/>
                              </w:rPr>
                              <w:t>1</w:t>
                            </w:r>
                            <w:r w:rsidRPr="00E04CE5">
                              <w:rPr>
                                <w:color w:val="auto"/>
                              </w:rPr>
                              <w:fldChar w:fldCharType="end"/>
                            </w:r>
                            <w:r w:rsidRPr="00E04CE5">
                              <w:rPr>
                                <w:color w:val="auto"/>
                              </w:rPr>
                              <w:t>: Overview of study procedures</w:t>
                            </w:r>
                            <w:r>
                              <w:rPr>
                                <w:color w:val="auto"/>
                              </w:rPr>
                              <w:t>. Participants are enrolled at their routine 12-week clinical visit. Enrolled participants will undergo five measurement periods, where they will wear a CGM and actigraphy monitor for 14 days after clinic visits at 12, 16, 20, 24, and 28 weeks gestation. They will also be asked to take pictures of their meals and text them to study team for the first 3 of 14 days in each of five measurement periods.</w:t>
                            </w:r>
                          </w:p>
                        </w:txbxContent>
                      </wps:txbx>
                      <wps:bodyPr rot="0" vert="horz" wrap="square" lIns="0" tIns="0" rIns="0" bIns="0" anchor="t" anchorCtr="0" upright="1"/>
                    </wps:wsp>
                  </a:graphicData>
                </a:graphic>
              </wp:inline>
            </w:drawing>
          </mc:Choice>
          <mc:Fallback>
            <w:pict>
              <v:shapetype w14:anchorId="3B22A139" id="_x0000_t202" coordsize="21600,21600" o:spt="202" path="m,l,21600r21600,l21600,xe">
                <v:stroke joinstyle="miter"/>
                <v:path gradientshapeok="t" o:connecttype="rect"/>
              </v:shapetype>
              <v:shape id="Text Box 2" o:spid="_x0000_s1026" type="#_x0000_t202" style="width:353.25pt;height:53.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" stroked="f">
                <v:textbox inset="0,0,0,0">
                  <w:txbxContent>
                    <w:p w14:paraId="3EFFBA2C" w14:textId="77777777" w:rsidR="00EA39BC" w:rsidRPr="00E04CE5" w:rsidRDefault="00000000" w:rsidP="003562FC">
                      <w:pPr>
                        <w:pStyle w:val="Caption"/>
                        <w:rPr>
                          <w:b/>
                          <w:noProof/>
                          <w:color w:val="auto"/>
                          <w:sz w:val="22"/>
                          <w:szCs w:val="33"/>
                        </w:rPr>
                      </w:pPr>
                      <w:r w:rsidRPr="00E04CE5">
                        <w:rPr>
                          <w:color w:val="auto"/>
                        </w:rPr>
                        <w:t xml:space="preserve">Figure </w:t>
                      </w:r>
                      <w:r w:rsidRPr="00E04CE5">
                        <w:rPr>
                          <w:color w:val="auto"/>
                        </w:rPr>
                        <w:fldChar w:fldCharType="begin"/>
                      </w:r>
                      <w:r w:rsidRPr="00E04CE5">
                        <w:rPr>
                          <w:color w:val="auto"/>
                        </w:rPr>
                        <w:instrText xml:space="preserve"> SEQ Figure \* ARABIC </w:instrText>
                      </w:r>
                      <w:r w:rsidRPr="00E04CE5">
                        <w:rPr>
                          <w:color w:val="auto"/>
                        </w:rPr>
                        <w:fldChar w:fldCharType="separate"/>
                      </w:r>
                      <w:r w:rsidRPr="00E04CE5">
                        <w:rPr>
                          <w:noProof/>
                          <w:color w:val="auto"/>
                        </w:rPr>
                        <w:t>1</w:t>
                      </w:r>
                      <w:r w:rsidRPr="00E04CE5">
                        <w:rPr>
                          <w:color w:val="auto"/>
                        </w:rPr>
                        <w:fldChar w:fldCharType="end"/>
                      </w:r>
                      <w:r w:rsidRPr="00E04CE5">
                        <w:rPr>
                          <w:color w:val="auto"/>
                        </w:rPr>
                        <w:t>: Overview of study procedures</w:t>
                      </w:r>
                      <w:r>
                        <w:rPr>
                          <w:color w:val="auto"/>
                        </w:rPr>
                        <w:t>. Participants are enrolled at their routine 12-week clinical visit. Enrolled participants will undergo five measurement periods, where they will wear a CGM and actigraphy monitor for 14 days after clinic visits at 12, 16, 20, 24, and 28 weeks gestation. They will also be asked to take pictures of their meals and text them to study team for the first 3 of 14 days in each of five measurement periods.</w:t>
                      </w:r>
                    </w:p>
                  </w:txbxContent>
                </v:textbox>
                <w10:anchorlock/>
              </v:shape>
            </w:pict>
          </mc:Fallback>
        </mc:AlternateContent>
      </w:r>
    </w:p>
    <w:p w14:paraId="043FA695" w14:textId="77777777" w:rsidR="003562FC" w:rsidRDefault="003562FC" w:rsidP="003562FC">
      <w:pPr>
        <w:pStyle w:val="Heading2"/>
        <w:spacing w:before="0" w:after="0"/>
        <w:rPr>
          <w:rFonts w:cs="Arial"/>
          <w:szCs w:val="20"/>
        </w:rPr>
      </w:pPr>
    </w:p>
    <w:p w14:paraId="18E658FB" w14:textId="77777777" w:rsidR="003562FC" w:rsidRPr="0009119E" w:rsidRDefault="00000000" w:rsidP="003562FC">
      <w:pPr>
        <w:pStyle w:val="Heading2"/>
        <w:spacing w:before="0" w:after="0"/>
        <w:rPr>
          <w:rFonts w:cs="Arial"/>
          <w:szCs w:val="20"/>
        </w:rPr>
      </w:pPr>
      <w:r w:rsidRPr="0009119E">
        <w:rPr>
          <w:rFonts w:cs="Arial"/>
          <w:szCs w:val="20"/>
        </w:rPr>
        <w:t>6.1 Study Procedures</w:t>
      </w:r>
      <w:bookmarkEnd w:id="31"/>
    </w:p>
    <w:p w14:paraId="57F04729" w14:textId="77777777" w:rsidR="003562FC" w:rsidRDefault="00000000" w:rsidP="003562FC">
      <w:pPr>
        <w:pStyle w:val="Heading3"/>
        <w:spacing w:before="0" w:after="0"/>
        <w:rPr>
          <w:b w:val="0"/>
          <w:szCs w:val="20"/>
        </w:rPr>
      </w:pPr>
      <w:bookmarkStart w:id="32" w:name="_Toc30"/>
      <w:r w:rsidRPr="0009119E">
        <w:rPr>
          <w:b w:val="0"/>
          <w:szCs w:val="20"/>
        </w:rPr>
        <w:t>An overview of the study is shown (</w:t>
      </w:r>
      <w:r w:rsidRPr="0009119E">
        <w:rPr>
          <w:szCs w:val="20"/>
        </w:rPr>
        <w:t>Figure 1</w:t>
      </w:r>
      <w:r w:rsidRPr="0009119E">
        <w:rPr>
          <w:b w:val="0"/>
          <w:szCs w:val="20"/>
        </w:rPr>
        <w:t xml:space="preserve">). Briefly, participants will wear a CGM and an actigraphy monitor for 14 days after routine clinical visits around 12, 16, 20,24, and 28 weeks gestation. They will also be asked to text pictures of their meals for the first 3 of 14 days to study staff using their smartphone </w:t>
      </w:r>
      <w:r w:rsidR="00BA44DB">
        <w:rPr>
          <w:b w:val="0"/>
          <w:szCs w:val="20"/>
        </w:rPr>
        <w:t>email</w:t>
      </w:r>
      <w:r w:rsidR="00BA44DB" w:rsidRPr="0009119E">
        <w:rPr>
          <w:b w:val="0"/>
          <w:szCs w:val="20"/>
        </w:rPr>
        <w:t xml:space="preserve"> </w:t>
      </w:r>
      <w:r w:rsidRPr="0009119E">
        <w:rPr>
          <w:b w:val="0"/>
          <w:szCs w:val="20"/>
        </w:rPr>
        <w:t>app.</w:t>
      </w:r>
    </w:p>
    <w:p w14:paraId="37E6CFA7" w14:textId="77777777" w:rsidR="003562FC" w:rsidRPr="00BD108A" w:rsidRDefault="003562FC" w:rsidP="003562FC"/>
    <w:p w14:paraId="2CB918C1" w14:textId="77777777" w:rsidR="003562FC" w:rsidRPr="0009119E" w:rsidRDefault="00000000" w:rsidP="003562FC">
      <w:pPr>
        <w:pStyle w:val="Heading3"/>
        <w:spacing w:before="0" w:after="0"/>
        <w:rPr>
          <w:szCs w:val="20"/>
        </w:rPr>
      </w:pPr>
      <w:r w:rsidRPr="0009119E">
        <w:rPr>
          <w:szCs w:val="20"/>
        </w:rPr>
        <w:t>6.1.1 Data Collection</w:t>
      </w:r>
      <w:bookmarkEnd w:id="32"/>
    </w:p>
    <w:p w14:paraId="53F76AD8" w14:textId="77777777" w:rsidR="003562FC" w:rsidRDefault="00000000" w:rsidP="003562FC">
      <w:r w:rsidRPr="0009119E">
        <w:rPr>
          <w:b/>
          <w:u w:val="single"/>
        </w:rPr>
        <w:t xml:space="preserve">CGM assessment: </w:t>
      </w:r>
      <w:r w:rsidRPr="0009119E">
        <w:t>Participants will be instructed to wear a blinded Abbott Freestyle Libre CGM for up to 14 days following each measurement visit. The Freestyle Libre CGM records interstitial glucose every 15 minutes and has been shown to be safe, convenient, and accurate (low MARD of 12%)</w:t>
      </w:r>
      <w:r w:rsidRPr="0009119E">
        <w:fldChar w:fldCharType="begin"/>
      </w:r>
      <w:r w:rsidRPr="0009119E">
        <w:instrText xml:space="preserve"> ADDIN ZOTERO_ITEM CSL_CITATION {"citationID":"uHXQRuVI","properties":{"formattedCitation":"\\super 28\\nosupersub{}","plainCitation":"28","noteIndex":0},"citationItems":[{"id":724,"uris":["http://zotero.org/users/11635066/items/K426PLPM"],"itemData":{"id":724,"type":"article-journal","abstract":"Background: Accuracy of the FreeStyle Libre™ Flash Glucose Monitoring System has not been evaluated in pregnant women with diabetes. The aim of this study was to determine accuracy (compared to self-monitoring of blood glucose [SMBG]), clinical safety, and acceptability of the FreeStyle Libre System when used at home by this population., Materials and Methods: Seventy-four participants, with type 1 (T1D, n = 24), type 2 (T2D, n = 11), or gestational (n = 39) diabetes, were enrolled across 13 sites (9 in United Kingdom, 4 in Austria). Average gestation was 26.6 ± 6.8 weeks (mean ± standard deviation), age was 30.5 ± 5.1 years, diabetes duration was 13.1 ± 7.3 years for T1D and 3.2 ± 2.5 years for T2D, and 49/74 (66.2%) used insulin to manage their diabetes. Sensors were worn for up to 14 days. Sensor glucose values (masked) were compared with capillary SMBG values (made at least 4 times/day)., Results: Clinical accuracy of sensor results versus SMBG results was demonstrated, with 88.1% and 99.8% of results within Zone A and Zones A and B of the Consensus Error Grid, respectively. Overall mean absolute relative difference was 11.8%. Sensor accuracy was unaffected by the type of diabetes, the stage of pregnancy, whether insulin was used, age or body mass index. User questionnaires indicated high levels of satisfaction with sensor wear, system use, and comparison to SMBG. There were no unanticipated device-related adverse events., Conclusions: Good agreement was demonstrated between the FreeStyle Libre System and SMBG. Accuracy of the system was unaffected by patient characteristics, indicating that the system is safe and accurate to use by pregnant women with diabetes.","container-title":"Diabetes Technology &amp; Therapeutics","DOI":"10.1089/dia.2017.0386","ISSN":"1520-9156","issue":"3","journalAbbreviation":"Diabetes Technol Ther","note":"PMID: 29470094\nPMCID: PMC5867506","page":"180-188","source":"PubMed Central","title":"Accuracy, User Acceptability, and Safety Evaluation for the FreeStyle Libre Flash Glucose Monitoring System When Used by Pregnant Women with Diabetes","volume":"20","author":[{"family":"Scott","given":"Eleanor M."},{"family":"Bilous","given":"Rudy W."},{"family":"Kautzky-Willer","given":"Alexandra"}],"issued":{"date-parts":[["2018",3,1]]}}}],"schema":"https://github.com/citation-style-language/schema/raw/master/csl-citation.json"} </w:instrText>
      </w:r>
      <w:r w:rsidRPr="0009119E">
        <w:fldChar w:fldCharType="separate"/>
      </w:r>
      <w:r w:rsidRPr="0009119E">
        <w:rPr>
          <w:vertAlign w:val="superscript"/>
        </w:rPr>
        <w:t>28</w:t>
      </w:r>
      <w:r w:rsidRPr="0009119E">
        <w:fldChar w:fldCharType="end"/>
      </w:r>
      <w:r w:rsidRPr="0009119E">
        <w:t>. It is FDA-approved, has a 14-day lifetime and requires no calibration after application.</w:t>
      </w:r>
    </w:p>
    <w:p w14:paraId="55CACC4A" w14:textId="77777777" w:rsidR="003562FC" w:rsidRPr="0009119E" w:rsidRDefault="003562FC" w:rsidP="003562FC">
      <w:pPr>
        <w:rPr>
          <w:b/>
          <w:u w:val="single"/>
        </w:rPr>
      </w:pPr>
    </w:p>
    <w:p w14:paraId="600C1B55" w14:textId="77777777" w:rsidR="003562FC" w:rsidRDefault="00000000" w:rsidP="003562FC">
      <w:r w:rsidRPr="0009119E">
        <w:rPr>
          <w:b/>
          <w:u w:val="single"/>
        </w:rPr>
        <w:t>Actigraphy assessment</w:t>
      </w:r>
      <w:r w:rsidRPr="0009119E">
        <w:t xml:space="preserve">: Participants will be instructed to wear a blinded actigraphy monitor for up to 14 days from the start of wear following each measurement visit. The </w:t>
      </w:r>
      <w:r w:rsidR="009A00A2">
        <w:t>Ametris</w:t>
      </w:r>
      <w:r w:rsidR="009A00A2" w:rsidRPr="0009119E">
        <w:t xml:space="preserve"> </w:t>
      </w:r>
      <w:r w:rsidRPr="0009119E">
        <w:t>LEAP monitor (</w:t>
      </w:r>
      <w:r w:rsidR="009A00A2">
        <w:t>Ametris</w:t>
      </w:r>
      <w:r w:rsidRPr="0009119E">
        <w:t>, Pensacola, FL) is a highly accurate research-grade PA, sleep, and BP measurement device</w:t>
      </w:r>
      <w:r w:rsidRPr="0009119E">
        <w:fldChar w:fldCharType="begin"/>
      </w:r>
      <w:r w:rsidRPr="0009119E">
        <w:instrText xml:space="preserve"> ADDIN ZOTERO_ITEM CSL_CITATION {"citationID":"nLSfA6z8","properties":{"formattedCitation":"\\super 29\\nosupersub{}","plainCitation":"29","noteIndex":0},"citationItems":[{"id":727,"uris":["http://zotero.org/users/11635066/items/NF8BADVL"],"itemData":{"id":727,"type":"article-journal","abstract":"Objectives: Our count-scaled algorithm automatically scores sleep across 24 hours to process sleep timing, quantity, and quality. The aim of this study was to validate the algorithm against overnight PSG in children to determine the best site placement for sleep., \nMethods: 28 children (5–8 years) with no history of sleep disturbance wore two types of accelerometers (ActiGraph GT3X+ and Actical) at two sites (left hip, non-dominant wrist) for 24-h. Data were processed using the count-scaled algorithm. PSG data were collected using an in-home Type 2 device. PSG-actigraphy epoch sensitivity (sleep agreement) and specificity (wake agreement) were determined and sleep outcomes compared for timing (onset and offset), quantity [sleep period time (SPT) and total sleep time (TST)], and quality metrics [sleep efficiency and waking after sleep onset (WASO)]., \nResults: Overall, sensitivities were high (89.1% to 99.5%) and specificities low (21.1% to 45.7%). Sleep offset was accurately measured by actigraphy, regardless of brand or placement site. By contrast, sleep onset agreed with PSG using hip-positioned but not wrist-positioned devices (difference ActiGraph : PSG 21 min, P &lt; .001; Actical : PSG 14 min, P &lt; .001). The ActiGraph at the wrist accurately detected WASO and sleep efficiency, but under (−34 min, P &lt; .001) and overestimated (5.8%, P &lt; .001) these at the hip. The Actical under- and over-estimated these variables respectively at both sites. Results for TST varied ranging from significant differences to PSG of −26 to 21 min (ActiGraph wrist and hip respectively) and 9 min (ns) to 59 min for Actical (wrist and hip respectively)., \nConclusion: Overall the count-scaled algorithm produced high sensitivity at the expense of low specificity in comparison with PSG. A best site placement for estimates of all sleep variables could not be determined, but overall the results suggested ActiGraph GT3X+ at the hip may be superior for sleep timing and quantity metrics, whereas the wrist may be superior for sleep quality metrics. Both devices placed at the hip performed well for sleep timing but not for sleep quality. Differences are likely linked to freedom of movement of the wrist vs the trunk (hip) during overnight sleep.","container-title":"Frontiers in Psychiatry","DOI":"10.3389/fpsyt.2019.00958","ISSN":"1664-0640","journalAbbreviation":"Front Psychiatry","note":"PMID: 31992999\nPMCID: PMC6970953","page":"958","source":"PubMed Central","title":"ActiGraph GT3X+ and Actical Wrist and Hip Worn Accelerometers for Sleep and Wake Indices in Young Children Using an Automated Algorithm: Validation With Polysomnography","title-short":"ActiGraph GT3X+ and Actical Wrist and Hip Worn Accelerometers for Sleep and Wake Indices in Young Children Using an Automated Algorithm","volume":"10","author":[{"family":"Smith","given":"Claire"},{"family":"Galland","given":"Barbara"},{"family":"Taylor","given":"Rachael"},{"family":"Meredith-Jones","given":"Kim"}],"issued":{"date-parts":[["2020",1,14]]}}}],"schema":"https://github.com/citation-style-language/schema/raw/master/csl-citation.json"} </w:instrText>
      </w:r>
      <w:r w:rsidRPr="0009119E">
        <w:fldChar w:fldCharType="separate"/>
      </w:r>
      <w:r w:rsidRPr="0009119E">
        <w:rPr>
          <w:vertAlign w:val="superscript"/>
        </w:rPr>
        <w:t>29</w:t>
      </w:r>
      <w:r w:rsidRPr="0009119E">
        <w:fldChar w:fldCharType="end"/>
      </w:r>
      <w:r w:rsidRPr="0009119E">
        <w:t>. The LEAP captures tri-axial motion data at 30 Hz, or 30 readings per minute, and can record BP at 25Hz, or 25 readings per minute. Since the LEAP device requires device wear on the wrist for physical activity/sleep assessment, and on upper arm for BP assessment, participants will be asked to wear the device on the upper arm for the first and last day of the 14-day assessment period, and on the remaining days on the wrist. Study staff will send a reminder to participants to switch the device from upper arm to wrist and vice-versa on the 2</w:t>
      </w:r>
      <w:r w:rsidRPr="0009119E">
        <w:rPr>
          <w:vertAlign w:val="superscript"/>
        </w:rPr>
        <w:t>nd</w:t>
      </w:r>
      <w:r w:rsidRPr="0009119E">
        <w:t xml:space="preserve"> and 13</w:t>
      </w:r>
      <w:r w:rsidRPr="0009119E">
        <w:rPr>
          <w:vertAlign w:val="superscript"/>
        </w:rPr>
        <w:t>th</w:t>
      </w:r>
      <w:r w:rsidRPr="0009119E">
        <w:t xml:space="preserve"> day of the two-week assessment period.</w:t>
      </w:r>
    </w:p>
    <w:p w14:paraId="4B816DA9" w14:textId="77777777" w:rsidR="00CB724A" w:rsidRDefault="00CB724A" w:rsidP="003562FC">
      <w:pPr>
        <w:rPr>
          <w:b/>
        </w:rPr>
      </w:pPr>
    </w:p>
    <w:p w14:paraId="3F58C7CF" w14:textId="77777777" w:rsidR="003562FC" w:rsidRPr="00841F1C" w:rsidRDefault="00000000" w:rsidP="003562FC">
      <w:r>
        <w:rPr>
          <w:b/>
        </w:rPr>
        <w:t>BP calibration</w:t>
      </w:r>
      <w:r>
        <w:t xml:space="preserve">- The LEAP’s BP data collection requires a calibration step with a standard cuff BP monitor. When the LEAP device is placed on the participants’ preferred arm at </w:t>
      </w:r>
      <w:r w:rsidR="00BA44DB">
        <w:t xml:space="preserve">their </w:t>
      </w:r>
      <w:r>
        <w:t>study visit</w:t>
      </w:r>
      <w:r w:rsidR="00D52614">
        <w:t>(s)</w:t>
      </w:r>
      <w:r>
        <w:t xml:space="preserve">, study staff will take 3  BP readings using a standard cuff BP monitor on their other arm. </w:t>
      </w:r>
      <w:r w:rsidR="00D52614">
        <w:t xml:space="preserve">If needed for further calibration, </w:t>
      </w:r>
      <w:r w:rsidR="00BA44DB">
        <w:t xml:space="preserve">3 additional BP readings may be taken at each of the follow-up study visits, </w:t>
      </w:r>
      <w:r w:rsidR="00D52614">
        <w:t>as determined by the study team</w:t>
      </w:r>
      <w:r w:rsidR="00BA44DB">
        <w:t xml:space="preserve">. </w:t>
      </w:r>
      <w:r>
        <w:t>The procedure for BP measurements will follow</w:t>
      </w:r>
      <w:r w:rsidR="00A00938">
        <w:t xml:space="preserve"> an amended version of</w:t>
      </w:r>
      <w:r>
        <w:t xml:space="preserve"> the BP protocol of the large Systolic Blood Pressure Intervention Trial (SPRINT) research study that measured BPs on over 9,000 study subjects. This BP value will be recorded and stored in the Centrepoint software, following de-identification/ removal of PHI, to be used after the participant returns their devices to extract BP data. The BP data will also be </w:t>
      </w:r>
      <w:r w:rsidR="006B2311">
        <w:t>entered</w:t>
      </w:r>
      <w:r>
        <w:t xml:space="preserve"> to the participant’s health record</w:t>
      </w:r>
      <w:r w:rsidR="00075AB7">
        <w:t>, to facilitate further review by a clinician if needed</w:t>
      </w:r>
      <w:r>
        <w:t>.</w:t>
      </w:r>
    </w:p>
    <w:p w14:paraId="4BF61AC1" w14:textId="77777777" w:rsidR="003562FC" w:rsidRPr="0009119E" w:rsidRDefault="003562FC" w:rsidP="003562FC"/>
    <w:p w14:paraId="3B6D2DB0" w14:textId="77777777" w:rsidR="003562FC" w:rsidRDefault="00000000" w:rsidP="003562FC">
      <w:pPr>
        <w:rPr>
          <w:bCs/>
        </w:rPr>
      </w:pPr>
      <w:r w:rsidRPr="0009119E">
        <w:rPr>
          <w:b/>
          <w:u w:val="single"/>
        </w:rPr>
        <w:t>Food logging</w:t>
      </w:r>
      <w:r w:rsidRPr="0009119E">
        <w:t xml:space="preserve">: </w:t>
      </w:r>
      <w:r w:rsidRPr="0009119E">
        <w:rPr>
          <w:bCs/>
        </w:rPr>
        <w:t xml:space="preserve">Participants will be asked to record their meals for </w:t>
      </w:r>
      <w:r w:rsidRPr="0009119E">
        <w:rPr>
          <w:bCs/>
          <w:u w:val="single"/>
        </w:rPr>
        <w:t>3 days after each clinic visit</w:t>
      </w:r>
      <w:r w:rsidRPr="0009119E">
        <w:rPr>
          <w:bCs/>
        </w:rPr>
        <w:t xml:space="preserve"> using their </w:t>
      </w:r>
      <w:r w:rsidR="001E2096">
        <w:rPr>
          <w:bCs/>
        </w:rPr>
        <w:t>email</w:t>
      </w:r>
      <w:r w:rsidRPr="0009119E">
        <w:rPr>
          <w:bCs/>
        </w:rPr>
        <w:t xml:space="preserve">, to compute our exploratory outcome of AI-guided post-meal glucose estimation. Participants will be directed to take a picture of their food before they begin eating, and </w:t>
      </w:r>
      <w:r w:rsidR="00854D03">
        <w:rPr>
          <w:bCs/>
        </w:rPr>
        <w:t xml:space="preserve">to </w:t>
      </w:r>
      <w:r w:rsidR="0023342C">
        <w:rPr>
          <w:bCs/>
        </w:rPr>
        <w:t>email</w:t>
      </w:r>
      <w:r w:rsidR="0023342C" w:rsidRPr="0009119E">
        <w:rPr>
          <w:bCs/>
        </w:rPr>
        <w:t xml:space="preserve"> </w:t>
      </w:r>
      <w:r w:rsidRPr="0009119E">
        <w:rPr>
          <w:bCs/>
        </w:rPr>
        <w:t xml:space="preserve">the image to a designated study team </w:t>
      </w:r>
      <w:r w:rsidR="00854D03">
        <w:rPr>
          <w:bCs/>
        </w:rPr>
        <w:t>email</w:t>
      </w:r>
      <w:r w:rsidRPr="0009119E">
        <w:rPr>
          <w:bCs/>
        </w:rPr>
        <w:t>. The study team member will download the image to a shared secure research drive.</w:t>
      </w:r>
    </w:p>
    <w:p w14:paraId="667E8F07" w14:textId="77777777" w:rsidR="003562FC" w:rsidRPr="0009119E" w:rsidRDefault="003562FC" w:rsidP="003562FC">
      <w:pPr>
        <w:rPr>
          <w:bCs/>
        </w:rPr>
      </w:pPr>
    </w:p>
    <w:p w14:paraId="2041F46F" w14:textId="77777777" w:rsidR="003562FC" w:rsidRDefault="00000000" w:rsidP="003562FC">
      <w:r w:rsidRPr="0009119E">
        <w:rPr>
          <w:b/>
          <w:u w:val="single"/>
        </w:rPr>
        <w:t>Device usability assessment</w:t>
      </w:r>
      <w:r w:rsidRPr="0009119E">
        <w:t>:</w:t>
      </w:r>
      <w:r w:rsidRPr="0009119E">
        <w:rPr>
          <w:b/>
        </w:rPr>
        <w:t xml:space="preserve"> </w:t>
      </w:r>
      <w:r w:rsidRPr="0009119E">
        <w:t>We will administer the System Usability Scale survey</w:t>
      </w:r>
      <w:r w:rsidRPr="0009119E">
        <w:fldChar w:fldCharType="begin"/>
      </w:r>
      <w:r w:rsidRPr="0009119E">
        <w:instrText xml:space="preserve"> ADDIN ZOTERO_ITEM CSL_CITATION {"citationID":"aAEYFgMH","properties":{"formattedCitation":"\\super 23\\nosupersub{}","plainCitation":"23","noteIndex":0},"citationItems":[{"id":738,"uris":["http://zotero.org/users/11635066/items/5KR69VAR"],"itemData":{"id":738,"type":"article-journal","abstract":"The System Usability Scale (SUS) is the most widely used standardized questionnaire for the assessment of perceived usability. This review of the SUS covers its early history from inception in the 1980s through recent research and its future prospects. From relatively inauspicious beginnings, when its originator described it as a “quick and dirty usability scale,” it has proven to be quick but not “dirty.” It is likely that the SUS will continue to be a popular measurement of perceived usability for the foreseeable future. When researchers and practitioners need a measure of perceived usability, they should strongly consider using the SUS.","container-title":"International Journal of Human–Computer Interaction","DOI":"10.1080/10447318.2018.1455307","ISSN":"1044-7318","issue":"7","note":"publisher: Taylor &amp; Francis\n_eprint: https://doi.org/10.1080/10447318.2018.1455307","page":"577-590","source":"Taylor and Francis+NEJM","title":"The System Usability Scale: Past, Present, and Future","title-short":"The System Usability Scale","volume":"34","author":[{"family":"Lewis","given":"James R."}],"issued":{"date-parts":[["2018",7,3]]}}}],"schema":"https://github.com/citation-style-language/schema/raw/master/csl-citation.json"} </w:instrText>
      </w:r>
      <w:r w:rsidRPr="0009119E">
        <w:fldChar w:fldCharType="separate"/>
      </w:r>
      <w:r w:rsidRPr="0009119E">
        <w:rPr>
          <w:vertAlign w:val="superscript"/>
        </w:rPr>
        <w:t>23</w:t>
      </w:r>
      <w:r w:rsidRPr="0009119E">
        <w:fldChar w:fldCharType="end"/>
      </w:r>
      <w:r w:rsidRPr="0009119E">
        <w:t xml:space="preserve"> to participants after the completion of the 14-day CGM and actigraphy monitor assessment. The survey may be completed electronically via REDCap or in person. If the participant elects to complete the survey electronically, an email with a survey link </w:t>
      </w:r>
      <w:r w:rsidRPr="0009119E">
        <w:lastRenderedPageBreak/>
        <w:t>will be sent to them right after the devices have been returned. Participants will have up to two weeks to respond to the survey. Participants may also choose to complete the survey in-person at a subsequent clinic appointment.</w:t>
      </w:r>
    </w:p>
    <w:p w14:paraId="1D4B0797" w14:textId="77777777" w:rsidR="003562FC" w:rsidRPr="0009119E" w:rsidRDefault="003562FC" w:rsidP="003562FC"/>
    <w:p w14:paraId="626EE759" w14:textId="77777777" w:rsidR="003562FC" w:rsidRPr="0009119E" w:rsidRDefault="00000000" w:rsidP="003562FC">
      <w:pPr>
        <w:pStyle w:val="Heading3"/>
        <w:spacing w:before="0" w:after="0"/>
        <w:rPr>
          <w:szCs w:val="20"/>
        </w:rPr>
      </w:pPr>
      <w:bookmarkStart w:id="33" w:name="_Toc31"/>
      <w:r w:rsidRPr="0009119E">
        <w:rPr>
          <w:szCs w:val="20"/>
        </w:rPr>
        <w:t>6.1.2 Adverse Events Definition and Reporting</w:t>
      </w:r>
      <w:bookmarkEnd w:id="33"/>
    </w:p>
    <w:p w14:paraId="53AE23B6" w14:textId="77777777" w:rsidR="003562FC" w:rsidRPr="0009119E" w:rsidRDefault="00000000" w:rsidP="003562FC">
      <w:pPr>
        <w:rPr>
          <w:b/>
          <w:u w:val="single"/>
        </w:rPr>
      </w:pPr>
      <w:r w:rsidRPr="0009119E">
        <w:rPr>
          <w:b/>
          <w:u w:val="single"/>
        </w:rPr>
        <w:t>Adverse Events (AE)</w:t>
      </w:r>
    </w:p>
    <w:p w14:paraId="5A9CE9E9" w14:textId="77777777" w:rsidR="003562FC" w:rsidRPr="0009119E" w:rsidRDefault="00000000" w:rsidP="003562FC">
      <w:r w:rsidRPr="0009119E">
        <w:t>An adverse event (AE) is any symptom, sign, illness or experience that develops or worsens in severity during the study. Intercurrent illnesses or injuries should be regarded as adverse events. Abnormal results of diagnostic procedures are considered to be adverse events if the abnormality:</w:t>
      </w:r>
    </w:p>
    <w:p w14:paraId="50C685F5" w14:textId="77777777" w:rsidR="003562FC" w:rsidRPr="0009119E" w:rsidRDefault="00000000" w:rsidP="003562FC">
      <w:pPr>
        <w:numPr>
          <w:ilvl w:val="0"/>
          <w:numId w:val="7"/>
        </w:numPr>
      </w:pPr>
      <w:r w:rsidRPr="0009119E">
        <w:t>results in study withdrawal</w:t>
      </w:r>
    </w:p>
    <w:p w14:paraId="6B0DDA93" w14:textId="77777777" w:rsidR="003562FC" w:rsidRPr="0009119E" w:rsidRDefault="00000000" w:rsidP="003562FC">
      <w:pPr>
        <w:numPr>
          <w:ilvl w:val="0"/>
          <w:numId w:val="7"/>
        </w:numPr>
      </w:pPr>
      <w:r w:rsidRPr="0009119E">
        <w:t>is associated with a serious adverse event</w:t>
      </w:r>
    </w:p>
    <w:p w14:paraId="0D8719B0" w14:textId="77777777" w:rsidR="003562FC" w:rsidRPr="0009119E" w:rsidRDefault="00000000" w:rsidP="003562FC">
      <w:pPr>
        <w:numPr>
          <w:ilvl w:val="0"/>
          <w:numId w:val="7"/>
        </w:numPr>
      </w:pPr>
      <w:r w:rsidRPr="0009119E">
        <w:t>is associated with clinical signs or symptoms</w:t>
      </w:r>
    </w:p>
    <w:p w14:paraId="12F13827" w14:textId="77777777" w:rsidR="003562FC" w:rsidRPr="0009119E" w:rsidRDefault="00000000" w:rsidP="003562FC">
      <w:pPr>
        <w:numPr>
          <w:ilvl w:val="0"/>
          <w:numId w:val="7"/>
        </w:numPr>
      </w:pPr>
      <w:r w:rsidRPr="0009119E">
        <w:t>leads to additional treatment or to further diagnostic tests</w:t>
      </w:r>
    </w:p>
    <w:p w14:paraId="4B03E105" w14:textId="77777777" w:rsidR="003562FC" w:rsidRPr="0009119E" w:rsidRDefault="00000000" w:rsidP="003562FC">
      <w:pPr>
        <w:numPr>
          <w:ilvl w:val="0"/>
          <w:numId w:val="7"/>
        </w:numPr>
      </w:pPr>
      <w:r w:rsidRPr="0009119E">
        <w:t xml:space="preserve">is considered by the investigator to be of clinical significance </w:t>
      </w:r>
    </w:p>
    <w:p w14:paraId="6EDC6723" w14:textId="77777777" w:rsidR="003562FC" w:rsidRDefault="003562FC" w:rsidP="003562FC">
      <w:pPr>
        <w:rPr>
          <w:b/>
          <w:u w:val="single"/>
        </w:rPr>
      </w:pPr>
    </w:p>
    <w:p w14:paraId="186DA041" w14:textId="77777777" w:rsidR="003562FC" w:rsidRPr="0009119E" w:rsidRDefault="00000000" w:rsidP="003562FC">
      <w:pPr>
        <w:rPr>
          <w:b/>
          <w:u w:val="single"/>
        </w:rPr>
      </w:pPr>
      <w:r w:rsidRPr="0009119E">
        <w:rPr>
          <w:b/>
          <w:u w:val="single"/>
        </w:rPr>
        <w:t>Serious Adverse Event (SAE)</w:t>
      </w:r>
    </w:p>
    <w:p w14:paraId="40A99EE0" w14:textId="77777777" w:rsidR="003562FC" w:rsidRPr="0009119E" w:rsidRDefault="00000000" w:rsidP="003562FC">
      <w:r w:rsidRPr="0009119E">
        <w:t xml:space="preserve">Adverse events are classified as serious or non-serious. A </w:t>
      </w:r>
      <w:r w:rsidRPr="0009119E">
        <w:rPr>
          <w:b/>
          <w:bCs/>
        </w:rPr>
        <w:t>serious adverse event</w:t>
      </w:r>
      <w:r w:rsidRPr="0009119E">
        <w:t xml:space="preserve"> is any AE that is:</w:t>
      </w:r>
    </w:p>
    <w:p w14:paraId="4640D93B" w14:textId="77777777" w:rsidR="003562FC" w:rsidRPr="0009119E" w:rsidRDefault="00000000" w:rsidP="003562FC">
      <w:pPr>
        <w:numPr>
          <w:ilvl w:val="0"/>
          <w:numId w:val="8"/>
        </w:numPr>
      </w:pPr>
      <w:r w:rsidRPr="0009119E">
        <w:t>fatal</w:t>
      </w:r>
    </w:p>
    <w:p w14:paraId="40DA8ED1" w14:textId="77777777" w:rsidR="003562FC" w:rsidRPr="0009119E" w:rsidRDefault="00000000" w:rsidP="003562FC">
      <w:pPr>
        <w:numPr>
          <w:ilvl w:val="0"/>
          <w:numId w:val="8"/>
        </w:numPr>
      </w:pPr>
      <w:r w:rsidRPr="0009119E">
        <w:t>life-threatening</w:t>
      </w:r>
    </w:p>
    <w:p w14:paraId="1BA5AE5C" w14:textId="77777777" w:rsidR="003562FC" w:rsidRPr="0009119E" w:rsidRDefault="00000000" w:rsidP="003562FC">
      <w:pPr>
        <w:numPr>
          <w:ilvl w:val="0"/>
          <w:numId w:val="8"/>
        </w:numPr>
      </w:pPr>
      <w:r w:rsidRPr="0009119E">
        <w:t>requires or prolongs hospital stay</w:t>
      </w:r>
    </w:p>
    <w:p w14:paraId="3E1ECF5F" w14:textId="77777777" w:rsidR="003562FC" w:rsidRPr="0009119E" w:rsidRDefault="00000000" w:rsidP="003562FC">
      <w:pPr>
        <w:numPr>
          <w:ilvl w:val="0"/>
          <w:numId w:val="8"/>
        </w:numPr>
      </w:pPr>
      <w:r w:rsidRPr="0009119E">
        <w:t>results in persistent or significant disability or incapacity</w:t>
      </w:r>
    </w:p>
    <w:p w14:paraId="3F064215" w14:textId="77777777" w:rsidR="003562FC" w:rsidRPr="0009119E" w:rsidRDefault="00000000" w:rsidP="003562FC">
      <w:pPr>
        <w:numPr>
          <w:ilvl w:val="0"/>
          <w:numId w:val="8"/>
        </w:numPr>
      </w:pPr>
      <w:r w:rsidRPr="0009119E">
        <w:t>a congenital anomaly or birth defect</w:t>
      </w:r>
    </w:p>
    <w:p w14:paraId="6E21FFE9" w14:textId="77777777" w:rsidR="003562FC" w:rsidRPr="0009119E" w:rsidRDefault="00000000" w:rsidP="003562FC">
      <w:pPr>
        <w:numPr>
          <w:ilvl w:val="0"/>
          <w:numId w:val="8"/>
        </w:numPr>
      </w:pPr>
      <w:r w:rsidRPr="0009119E">
        <w:t>an important medical event</w:t>
      </w:r>
    </w:p>
    <w:p w14:paraId="29637725" w14:textId="77777777" w:rsidR="003562FC" w:rsidRPr="0009119E" w:rsidRDefault="00000000" w:rsidP="003562FC">
      <w:r w:rsidRPr="0009119E">
        <w:t>Important medical events are those that may not be immediately life threatening but are clearly of major clinical significance. They may jeopardize the participant and may require intervention to prevent one of the other serious outcomes noted above. For example, drug overdose or abuse, a seizure that did not result in in-patient hospitalization, or intensive treatment of bronchospasm in an emergency department would typically be considered serious.</w:t>
      </w:r>
    </w:p>
    <w:p w14:paraId="67DE96B0" w14:textId="77777777" w:rsidR="003562FC" w:rsidRDefault="003562FC" w:rsidP="003562FC"/>
    <w:p w14:paraId="6147CC61" w14:textId="77777777" w:rsidR="003562FC" w:rsidRDefault="00000000" w:rsidP="003562FC">
      <w:r w:rsidRPr="0009119E">
        <w:t xml:space="preserve">All adverse events that do not meet any of the criteria for serious should be regarded as </w:t>
      </w:r>
      <w:r w:rsidRPr="0009119E">
        <w:rPr>
          <w:b/>
          <w:bCs/>
        </w:rPr>
        <w:t>non-serious adverse events</w:t>
      </w:r>
      <w:r w:rsidRPr="0009119E">
        <w:t>.</w:t>
      </w:r>
    </w:p>
    <w:p w14:paraId="1A789B67" w14:textId="77777777" w:rsidR="003562FC" w:rsidRPr="0009119E" w:rsidRDefault="003562FC" w:rsidP="003562FC"/>
    <w:p w14:paraId="1FEE830E" w14:textId="77777777" w:rsidR="003562FC" w:rsidRPr="0009119E" w:rsidRDefault="00000000" w:rsidP="003562FC">
      <w:pPr>
        <w:rPr>
          <w:b/>
          <w:u w:val="single"/>
        </w:rPr>
      </w:pPr>
      <w:r w:rsidRPr="0009119E">
        <w:rPr>
          <w:b/>
          <w:u w:val="single"/>
        </w:rPr>
        <w:t>Unanticipated Problems</w:t>
      </w:r>
    </w:p>
    <w:p w14:paraId="1C267240" w14:textId="77777777" w:rsidR="003562FC" w:rsidRPr="0009119E" w:rsidRDefault="00000000" w:rsidP="003562FC">
      <w:r w:rsidRPr="0009119E">
        <w:t xml:space="preserve">Any incident, experience, or outcome that meets </w:t>
      </w:r>
      <w:r w:rsidRPr="0009119E">
        <w:rPr>
          <w:u w:val="single"/>
        </w:rPr>
        <w:t>all</w:t>
      </w:r>
      <w:r w:rsidRPr="0009119E">
        <w:t xml:space="preserve"> of the following criteria:</w:t>
      </w:r>
    </w:p>
    <w:p w14:paraId="09F9C3A4" w14:textId="77777777" w:rsidR="003562FC" w:rsidRPr="0009119E" w:rsidRDefault="00000000" w:rsidP="003562FC">
      <w:pPr>
        <w:numPr>
          <w:ilvl w:val="0"/>
          <w:numId w:val="9"/>
        </w:numPr>
      </w:pPr>
      <w:r w:rsidRPr="0009119E">
        <w:rPr>
          <w:u w:val="single"/>
        </w:rPr>
        <w:t>Unexpected in nature, severity, or frequency</w:t>
      </w:r>
      <w:r w:rsidRPr="0009119E">
        <w:t xml:space="preserve"> (i.e. not described in study-related documents such as the IRB-approved protocol or consent form, the investigators brochure, etc.)</w:t>
      </w:r>
    </w:p>
    <w:p w14:paraId="4DD31B81" w14:textId="77777777" w:rsidR="003562FC" w:rsidRPr="0009119E" w:rsidRDefault="00000000" w:rsidP="003562FC">
      <w:pPr>
        <w:numPr>
          <w:ilvl w:val="0"/>
          <w:numId w:val="9"/>
        </w:numPr>
      </w:pPr>
      <w:r w:rsidRPr="0009119E">
        <w:rPr>
          <w:u w:val="single"/>
        </w:rPr>
        <w:t>Related or possibly related to participation in the research</w:t>
      </w:r>
      <w:r w:rsidRPr="0009119E">
        <w:t xml:space="preserve"> (i.e. possibly related means there is a reasonable possibility that the incident experience, or outcome may have been caused by the procedures involved in the research)</w:t>
      </w:r>
    </w:p>
    <w:p w14:paraId="36D31528" w14:textId="77777777" w:rsidR="003562FC" w:rsidRPr="0009119E" w:rsidRDefault="00000000" w:rsidP="003562FC">
      <w:pPr>
        <w:numPr>
          <w:ilvl w:val="0"/>
          <w:numId w:val="9"/>
        </w:numPr>
      </w:pPr>
      <w:r w:rsidRPr="0009119E">
        <w:rPr>
          <w:u w:val="single"/>
        </w:rPr>
        <w:t>Suggests that the research places participants or others at greater risk of harm</w:t>
      </w:r>
      <w:r w:rsidRPr="0009119E">
        <w:t xml:space="preserve"> (including physical, psychological, economic, or social harm).</w:t>
      </w:r>
    </w:p>
    <w:p w14:paraId="5ADF6B95" w14:textId="77777777" w:rsidR="003562FC" w:rsidRDefault="003562FC" w:rsidP="003562FC">
      <w:pPr>
        <w:rPr>
          <w:b/>
          <w:bCs/>
          <w:u w:val="single"/>
        </w:rPr>
      </w:pPr>
    </w:p>
    <w:p w14:paraId="482F1AFB" w14:textId="77777777" w:rsidR="003562FC" w:rsidRPr="0009119E" w:rsidRDefault="00000000" w:rsidP="003562FC">
      <w:pPr>
        <w:rPr>
          <w:u w:val="single"/>
        </w:rPr>
      </w:pPr>
      <w:r w:rsidRPr="0009119E">
        <w:rPr>
          <w:b/>
          <w:bCs/>
          <w:u w:val="single"/>
        </w:rPr>
        <w:t>Classifications</w:t>
      </w:r>
    </w:p>
    <w:p w14:paraId="522ADF95" w14:textId="77777777" w:rsidR="003562FC" w:rsidRPr="0009119E" w:rsidRDefault="00000000" w:rsidP="003562FC">
      <w:r w:rsidRPr="0009119E">
        <w:t>AEs are graded according to the following scale:</w:t>
      </w:r>
    </w:p>
    <w:p w14:paraId="51D02D25" w14:textId="77777777" w:rsidR="003562FC" w:rsidRPr="0009119E" w:rsidRDefault="00000000" w:rsidP="003562FC">
      <w:pPr>
        <w:numPr>
          <w:ilvl w:val="0"/>
          <w:numId w:val="10"/>
        </w:numPr>
      </w:pPr>
      <w:r w:rsidRPr="0009119E">
        <w:rPr>
          <w:u w:val="single"/>
        </w:rPr>
        <w:t>Mild</w:t>
      </w:r>
      <w:r w:rsidRPr="0009119E">
        <w:t>: An experience that is transient and requires no special treatment or intervention. The experience does not generally interfere with usual daily activities.</w:t>
      </w:r>
    </w:p>
    <w:p w14:paraId="3A60D25D" w14:textId="77777777" w:rsidR="003562FC" w:rsidRPr="0009119E" w:rsidRDefault="00000000" w:rsidP="003562FC">
      <w:pPr>
        <w:numPr>
          <w:ilvl w:val="0"/>
          <w:numId w:val="10"/>
        </w:numPr>
      </w:pPr>
      <w:r w:rsidRPr="0009119E">
        <w:rPr>
          <w:u w:val="single"/>
        </w:rPr>
        <w:t>Moderate</w:t>
      </w:r>
      <w:r w:rsidRPr="0009119E">
        <w:t>: An experience that is alleviated with simple therapeutic treatments. The experience impacts usual daily activities, but not long-term injury.</w:t>
      </w:r>
    </w:p>
    <w:p w14:paraId="2F72FF2C" w14:textId="77777777" w:rsidR="003562FC" w:rsidRPr="0009119E" w:rsidRDefault="00000000" w:rsidP="003562FC">
      <w:pPr>
        <w:numPr>
          <w:ilvl w:val="0"/>
          <w:numId w:val="10"/>
        </w:numPr>
      </w:pPr>
      <w:r w:rsidRPr="0009119E">
        <w:rPr>
          <w:u w:val="single"/>
        </w:rPr>
        <w:t>Severe</w:t>
      </w:r>
      <w:r w:rsidRPr="0009119E">
        <w:t>: An experience that requires therapeutic intervention. The experience interrupts usual daily activities. If hospitalization (or prolongation of hospitalization) is required for treatment it becomes an SAE.</w:t>
      </w:r>
    </w:p>
    <w:p w14:paraId="69B3F61A" w14:textId="77777777" w:rsidR="003562FC" w:rsidRDefault="003562FC" w:rsidP="003562FC">
      <w:pPr>
        <w:rPr>
          <w:b/>
          <w:bCs/>
          <w:u w:val="single"/>
        </w:rPr>
      </w:pPr>
    </w:p>
    <w:p w14:paraId="37F52959" w14:textId="77777777" w:rsidR="003562FC" w:rsidRPr="0009119E" w:rsidRDefault="00000000" w:rsidP="003562FC">
      <w:pPr>
        <w:rPr>
          <w:b/>
          <w:u w:val="single"/>
        </w:rPr>
      </w:pPr>
      <w:r w:rsidRPr="0009119E">
        <w:rPr>
          <w:b/>
          <w:bCs/>
          <w:u w:val="single"/>
        </w:rPr>
        <w:t>Attribution Scale</w:t>
      </w:r>
    </w:p>
    <w:p w14:paraId="5340165E" w14:textId="77777777" w:rsidR="003562FC" w:rsidRPr="0009119E" w:rsidRDefault="00000000" w:rsidP="003562FC">
      <w:r w:rsidRPr="0009119E">
        <w:rPr>
          <w:u w:val="single"/>
        </w:rPr>
        <w:t>Not related</w:t>
      </w:r>
      <w:r w:rsidRPr="0009119E">
        <w:t>: The AE is clearly not related to the study procedures (i.e., another cause of the event is most plausible and/or a clinically plausible temporal sequence is inconsistent with the onset of the event).</w:t>
      </w:r>
    </w:p>
    <w:p w14:paraId="5CA70896" w14:textId="77777777" w:rsidR="003562FC" w:rsidRPr="0009119E" w:rsidRDefault="00000000" w:rsidP="003562FC">
      <w:r w:rsidRPr="0009119E">
        <w:rPr>
          <w:u w:val="single"/>
        </w:rPr>
        <w:t>Possibly related</w:t>
      </w:r>
      <w:r w:rsidRPr="0009119E">
        <w:t>: An event that follows a reasonable temporal sequence from the initiation of study procedures, but that could readily have been produced by several other factors.</w:t>
      </w:r>
    </w:p>
    <w:p w14:paraId="0F0146AD" w14:textId="77777777" w:rsidR="003562FC" w:rsidRPr="0009119E" w:rsidRDefault="00000000" w:rsidP="003562FC">
      <w:r w:rsidRPr="0009119E">
        <w:rPr>
          <w:u w:val="single"/>
        </w:rPr>
        <w:lastRenderedPageBreak/>
        <w:t>Related</w:t>
      </w:r>
      <w:r w:rsidRPr="0009119E">
        <w:t>: The AE is clearly related to the study procedures.</w:t>
      </w:r>
    </w:p>
    <w:p w14:paraId="3F0108B4" w14:textId="77777777" w:rsidR="003562FC" w:rsidRDefault="003562FC" w:rsidP="003562FC">
      <w:pPr>
        <w:rPr>
          <w:b/>
          <w:bCs/>
          <w:u w:val="single"/>
        </w:rPr>
      </w:pPr>
    </w:p>
    <w:p w14:paraId="25B7C187" w14:textId="77777777" w:rsidR="003562FC" w:rsidRPr="0009119E" w:rsidRDefault="00000000" w:rsidP="003562FC">
      <w:pPr>
        <w:rPr>
          <w:u w:val="single"/>
        </w:rPr>
      </w:pPr>
      <w:r w:rsidRPr="0009119E">
        <w:rPr>
          <w:b/>
          <w:bCs/>
          <w:u w:val="single"/>
        </w:rPr>
        <w:t>Unanticipated Problem Reporting</w:t>
      </w:r>
    </w:p>
    <w:p w14:paraId="15880D3F" w14:textId="77777777" w:rsidR="003562FC" w:rsidRPr="0009119E" w:rsidRDefault="00000000" w:rsidP="003562FC">
      <w:r w:rsidRPr="0009119E">
        <w:t>Incidents or events that meet the OHRP criteria for UPs require the creation and completion of an UP-report form. It is the PI's responsibility to report UPs to the IRB. The UP report will include the following information:</w:t>
      </w:r>
    </w:p>
    <w:p w14:paraId="1F70DC04" w14:textId="77777777" w:rsidR="003562FC" w:rsidRPr="0009119E" w:rsidRDefault="00000000" w:rsidP="003562FC">
      <w:pPr>
        <w:numPr>
          <w:ilvl w:val="0"/>
          <w:numId w:val="11"/>
        </w:numPr>
      </w:pPr>
      <w:r w:rsidRPr="0009119E">
        <w:t>Protocol identifying information: protocol title and number, PI's name, and the IRB project number;</w:t>
      </w:r>
    </w:p>
    <w:p w14:paraId="47B54CC9" w14:textId="77777777" w:rsidR="003562FC" w:rsidRPr="0009119E" w:rsidRDefault="00000000" w:rsidP="003562FC">
      <w:pPr>
        <w:numPr>
          <w:ilvl w:val="0"/>
          <w:numId w:val="11"/>
        </w:numPr>
      </w:pPr>
      <w:r w:rsidRPr="0009119E">
        <w:t>A detailed description of the event, incident, experience, or outcome;</w:t>
      </w:r>
    </w:p>
    <w:p w14:paraId="114F91DD" w14:textId="77777777" w:rsidR="003562FC" w:rsidRPr="0009119E" w:rsidRDefault="00000000" w:rsidP="003562FC">
      <w:pPr>
        <w:numPr>
          <w:ilvl w:val="0"/>
          <w:numId w:val="11"/>
        </w:numPr>
      </w:pPr>
      <w:r w:rsidRPr="0009119E">
        <w:t>An explanation of the basis for determining that the event, incident, experience, or outcome represents an UP;</w:t>
      </w:r>
    </w:p>
    <w:p w14:paraId="349B92C5" w14:textId="77777777" w:rsidR="003562FC" w:rsidRPr="0009119E" w:rsidRDefault="00000000" w:rsidP="003562FC">
      <w:pPr>
        <w:numPr>
          <w:ilvl w:val="0"/>
          <w:numId w:val="11"/>
        </w:numPr>
      </w:pPr>
      <w:r w:rsidRPr="0009119E">
        <w:t>A description of any changes to the protocol or other corrective actions proposed in response to the UP.</w:t>
      </w:r>
    </w:p>
    <w:p w14:paraId="4F5A4DFB" w14:textId="77777777" w:rsidR="003562FC" w:rsidRDefault="003562FC" w:rsidP="003562FC"/>
    <w:p w14:paraId="566E7BC9" w14:textId="77777777" w:rsidR="003562FC" w:rsidRPr="0009119E" w:rsidRDefault="00000000" w:rsidP="003562FC">
      <w:r w:rsidRPr="0009119E">
        <w:t>To satisfy the requirement for prompt reporting, UPs will be reported using the following timeline:</w:t>
      </w:r>
    </w:p>
    <w:p w14:paraId="678FB38C" w14:textId="77777777" w:rsidR="003562FC" w:rsidRPr="0009119E" w:rsidRDefault="00000000" w:rsidP="003562FC">
      <w:pPr>
        <w:numPr>
          <w:ilvl w:val="0"/>
          <w:numId w:val="12"/>
        </w:numPr>
      </w:pPr>
      <w:r w:rsidRPr="0009119E">
        <w:t>UPs that are SAEs will be reported to the IRB within 10 business days of the investigator becoming aware of the event.</w:t>
      </w:r>
    </w:p>
    <w:p w14:paraId="0EE7E06C" w14:textId="77777777" w:rsidR="003562FC" w:rsidRPr="0009119E" w:rsidRDefault="00000000" w:rsidP="003562FC">
      <w:pPr>
        <w:numPr>
          <w:ilvl w:val="0"/>
          <w:numId w:val="12"/>
        </w:numPr>
      </w:pPr>
      <w:r w:rsidRPr="0009119E">
        <w:t>Any other UP will be reported to the IRB within 10 business days of the investigator becoming aware of the problem.</w:t>
      </w:r>
    </w:p>
    <w:p w14:paraId="70994B8D" w14:textId="77777777" w:rsidR="003562FC" w:rsidRDefault="00000000" w:rsidP="003562FC">
      <w:pPr>
        <w:numPr>
          <w:ilvl w:val="0"/>
          <w:numId w:val="12"/>
        </w:numPr>
      </w:pPr>
      <w:r w:rsidRPr="0009119E">
        <w:t>All UPs should be reported to appropriate institutional officials (as required by an institution's written reporting procedures), the supporting agency head (or designee), and OHRP within 10 business days of the IR's receipt of the report of the problem from the investigator.</w:t>
      </w:r>
    </w:p>
    <w:p w14:paraId="43F44287" w14:textId="77777777" w:rsidR="003562FC" w:rsidRPr="0009119E" w:rsidRDefault="003562FC" w:rsidP="003562FC"/>
    <w:p w14:paraId="0CA91AE0" w14:textId="77777777" w:rsidR="003562FC" w:rsidRPr="0009119E" w:rsidRDefault="00000000" w:rsidP="003562FC">
      <w:pPr>
        <w:pStyle w:val="Heading2"/>
        <w:spacing w:before="0" w:after="0"/>
        <w:rPr>
          <w:rFonts w:cs="Arial"/>
          <w:szCs w:val="20"/>
        </w:rPr>
      </w:pPr>
      <w:bookmarkStart w:id="34" w:name="_Toc32"/>
      <w:r w:rsidRPr="0009119E">
        <w:rPr>
          <w:rFonts w:cs="Arial"/>
          <w:szCs w:val="20"/>
        </w:rPr>
        <w:t>6.2 Study Schedule</w:t>
      </w:r>
      <w:bookmarkEnd w:id="34"/>
    </w:p>
    <w:p w14:paraId="4E78B115" w14:textId="77777777" w:rsidR="003562FC" w:rsidRDefault="00000000" w:rsidP="003562FC">
      <w:r w:rsidRPr="0009119E">
        <w:rPr>
          <w:b/>
          <w:u w:val="single"/>
        </w:rPr>
        <w:t>Screening for eligibility</w:t>
      </w:r>
      <w:r w:rsidRPr="0009119E">
        <w:t>: Patients receiving care at the NYU Langone Obstetrics &amp; Gynecology Associates will be screened for potential eligibility.</w:t>
      </w:r>
    </w:p>
    <w:p w14:paraId="072E44D4" w14:textId="77777777" w:rsidR="003562FC" w:rsidRPr="0009119E" w:rsidRDefault="003562FC" w:rsidP="003562FC"/>
    <w:p w14:paraId="15133676" w14:textId="77777777" w:rsidR="003562FC" w:rsidRDefault="00000000" w:rsidP="003562FC">
      <w:r w:rsidRPr="0009119E">
        <w:rPr>
          <w:b/>
          <w:u w:val="single"/>
        </w:rPr>
        <w:t>Consent</w:t>
      </w:r>
      <w:r w:rsidRPr="0009119E">
        <w:t>: After confirmation of eligibility, study staff will explain the details of the study to eligible patients at their 12-week clinic visit. If the patient consents to participate and expresses a willingness to wear the digital devices, patients will be enrolled.</w:t>
      </w:r>
      <w:r>
        <w:t xml:space="preserve"> </w:t>
      </w:r>
      <w:r w:rsidR="009C45AE">
        <w:t>Subjects</w:t>
      </w:r>
      <w:r>
        <w:t xml:space="preserve"> </w:t>
      </w:r>
      <w:r w:rsidR="009C45AE">
        <w:t xml:space="preserve">must be consented in-person. As per the subject’s preference, subjects </w:t>
      </w:r>
      <w:r>
        <w:t>may be consented using physical</w:t>
      </w:r>
      <w:r w:rsidR="009C45AE">
        <w:t xml:space="preserve">, paper </w:t>
      </w:r>
      <w:r>
        <w:t>ICFs</w:t>
      </w:r>
      <w:r w:rsidR="009C45AE">
        <w:t xml:space="preserve"> </w:t>
      </w:r>
      <w:r>
        <w:t>or e-consented using the digital ICF on RedCa</w:t>
      </w:r>
      <w:r w:rsidR="009C45AE">
        <w:t>p.</w:t>
      </w:r>
    </w:p>
    <w:p w14:paraId="1D1CFE3F" w14:textId="77777777" w:rsidR="003562FC" w:rsidRPr="0009119E" w:rsidRDefault="003562FC" w:rsidP="003562FC"/>
    <w:p w14:paraId="7C528542" w14:textId="77777777" w:rsidR="003562FC" w:rsidRPr="0009119E" w:rsidRDefault="00000000" w:rsidP="003562FC">
      <w:r w:rsidRPr="0009119E">
        <w:rPr>
          <w:b/>
          <w:u w:val="single"/>
        </w:rPr>
        <w:t>Digital devices and compensation</w:t>
      </w:r>
      <w:r w:rsidRPr="0009119E">
        <w:t>: Consented participants will be given the devices, and a study team member will help the patients attach and activate the devices</w:t>
      </w:r>
      <w:r w:rsidR="00D52614">
        <w:t>, either in-person or via a video conferencing call</w:t>
      </w:r>
      <w:r w:rsidRPr="0009119E">
        <w:t>. Patients will be given a ClinCard for study compensation ($10 for returning the two digital devices and $10 for completing the survey for a maximum compensation of $30 at each visit). For five visits, the maximum compensation is expected to be $150. If participants tell the research team that they expect to receive $600 in research compensation in the calendar year, the study team will collect Social Security numbers and ask the participant to complete a W9.</w:t>
      </w:r>
    </w:p>
    <w:p w14:paraId="04CF3508" w14:textId="77777777" w:rsidR="003562FC" w:rsidRDefault="003562FC" w:rsidP="003562FC">
      <w:pPr>
        <w:rPr>
          <w:b/>
          <w:u w:val="single"/>
        </w:rPr>
      </w:pPr>
    </w:p>
    <w:p w14:paraId="1C3237B8" w14:textId="77777777" w:rsidR="003562FC" w:rsidRPr="0009119E" w:rsidRDefault="00000000" w:rsidP="003562FC">
      <w:r w:rsidRPr="0009119E">
        <w:rPr>
          <w:b/>
          <w:u w:val="single"/>
        </w:rPr>
        <w:t>Device return</w:t>
      </w:r>
      <w:r w:rsidRPr="0009119E">
        <w:t>: All participants will be given two options on how to return their devices:</w:t>
      </w:r>
    </w:p>
    <w:p w14:paraId="4D905014" w14:textId="77777777" w:rsidR="003562FC" w:rsidRPr="0009119E" w:rsidRDefault="00000000" w:rsidP="003562FC">
      <w:pPr>
        <w:numPr>
          <w:ilvl w:val="0"/>
          <w:numId w:val="13"/>
        </w:numPr>
      </w:pPr>
      <w:r w:rsidRPr="0009119E">
        <w:t>Return via mail- Participants will be provided with a box and pre-paid shipping label to mail the study materials back to the study team.</w:t>
      </w:r>
    </w:p>
    <w:p w14:paraId="345CFEFC" w14:textId="77777777" w:rsidR="003562FC" w:rsidRPr="0009119E" w:rsidRDefault="00000000" w:rsidP="003562FC">
      <w:pPr>
        <w:numPr>
          <w:ilvl w:val="0"/>
          <w:numId w:val="13"/>
        </w:numPr>
      </w:pPr>
      <w:r w:rsidRPr="0009119E">
        <w:t>In-person drop-off- Participants will be asked to bring the devices with them to a subsequent clinic visit. The study staff will be present to collect the materials</w:t>
      </w:r>
    </w:p>
    <w:p w14:paraId="6EAEDCB7" w14:textId="77777777" w:rsidR="003562FC" w:rsidRDefault="003562FC" w:rsidP="003562FC">
      <w:pPr>
        <w:rPr>
          <w:b/>
          <w:u w:val="single"/>
        </w:rPr>
      </w:pPr>
    </w:p>
    <w:p w14:paraId="45564A26" w14:textId="77777777" w:rsidR="003562FC" w:rsidRDefault="00000000" w:rsidP="003562FC">
      <w:r w:rsidRPr="0009119E">
        <w:rPr>
          <w:b/>
          <w:u w:val="single"/>
        </w:rPr>
        <w:t>Device survey</w:t>
      </w:r>
      <w:r w:rsidRPr="0009119E">
        <w:t>: Once the digital devices have been returned, participants will be emailed a link containing a questionnaire based on the System Usability Scale. Participants will be given two weeks to complete the questionnaire. Participants may also be approached in person at a clinic appointment to complete the survey if they express an interest in completing the survey in person.</w:t>
      </w:r>
    </w:p>
    <w:p w14:paraId="1A675C6A" w14:textId="77777777" w:rsidR="003562FC" w:rsidRPr="0009119E" w:rsidRDefault="003562FC" w:rsidP="003562FC"/>
    <w:p w14:paraId="0A51025D" w14:textId="77777777" w:rsidR="003562FC" w:rsidRPr="0009119E" w:rsidRDefault="00000000" w:rsidP="003562FC">
      <w:pPr>
        <w:pStyle w:val="Heading2"/>
        <w:spacing w:before="0" w:after="0"/>
        <w:rPr>
          <w:rFonts w:cs="Arial"/>
          <w:szCs w:val="20"/>
        </w:rPr>
      </w:pPr>
      <w:bookmarkStart w:id="35" w:name="_Toc33"/>
      <w:r w:rsidRPr="0009119E">
        <w:rPr>
          <w:rFonts w:cs="Arial"/>
          <w:szCs w:val="20"/>
        </w:rPr>
        <w:t>6.3 Informed Consent</w:t>
      </w:r>
      <w:bookmarkEnd w:id="35"/>
    </w:p>
    <w:p w14:paraId="60D45192" w14:textId="77777777" w:rsidR="003562FC" w:rsidRDefault="00000000" w:rsidP="003562FC">
      <w:r w:rsidRPr="0009119E">
        <w:t xml:space="preserve">The study team will determine potentially eligible patients based on the inclusion and exclusion criteria noted in section 5.3.2. Eligible patients identified by the study team and approached at their 12-week gestation clinic visit to review the consent form and ask questions. </w:t>
      </w:r>
      <w:r w:rsidR="00764212">
        <w:t xml:space="preserve">Participants will also be asked if they would like to receive any final, aggregated results of the study after completion, such as a published paper. This will be documented in the consent form for optional permission for future contact. </w:t>
      </w:r>
      <w:r w:rsidRPr="0009119E">
        <w:t>If the participant would like to participate, then the participant would sign two copies of the consent form, one for themselves and one for the study team. Once consent is obtained, the study procedures will begin.</w:t>
      </w:r>
    </w:p>
    <w:p w14:paraId="4C4A3930" w14:textId="77777777" w:rsidR="003562FC" w:rsidRPr="0009119E" w:rsidRDefault="003562FC" w:rsidP="003562FC"/>
    <w:p w14:paraId="5680B689" w14:textId="77777777" w:rsidR="003562FC" w:rsidRDefault="00000000" w:rsidP="003562FC">
      <w:r w:rsidRPr="0009119E">
        <w:t>The study team will not clear the study with the patient's treating physician. This is not necessary to minimize the risks to participants, as this study does not interfere with participant's standard medical care. The participant can tell their doctor about the study if they would like but the study team will not independently contact the participants treating physician about the study. The participants will have their consent form uploaded in EPIC so the treating physician can see the study explanation and contact the study team if they want.</w:t>
      </w:r>
    </w:p>
    <w:p w14:paraId="22E78647" w14:textId="77777777" w:rsidR="003562FC" w:rsidRPr="0009119E" w:rsidRDefault="003562FC" w:rsidP="003562FC"/>
    <w:p w14:paraId="271729D6" w14:textId="77777777" w:rsidR="003562FC" w:rsidRPr="0009119E" w:rsidRDefault="00000000" w:rsidP="003562FC">
      <w:pPr>
        <w:pStyle w:val="Heading3"/>
        <w:spacing w:before="0" w:after="0"/>
        <w:rPr>
          <w:szCs w:val="20"/>
        </w:rPr>
      </w:pPr>
      <w:bookmarkStart w:id="36" w:name="_Toc34"/>
      <w:r w:rsidRPr="0009119E">
        <w:rPr>
          <w:szCs w:val="20"/>
        </w:rPr>
        <w:t>6.3.1 Screening</w:t>
      </w:r>
      <w:bookmarkEnd w:id="36"/>
    </w:p>
    <w:p w14:paraId="3EACBAA1" w14:textId="77777777" w:rsidR="003562FC" w:rsidRDefault="00000000" w:rsidP="003562FC">
      <w:r w:rsidRPr="0009119E">
        <w:t>If the patient consents to the study, they are considered enrolled in the study- there are no screening procedures that take place before enrollment.</w:t>
      </w:r>
    </w:p>
    <w:p w14:paraId="03807BB2" w14:textId="77777777" w:rsidR="003562FC" w:rsidRPr="0009119E" w:rsidRDefault="003562FC" w:rsidP="003562FC"/>
    <w:p w14:paraId="731620E5" w14:textId="77777777" w:rsidR="003562FC" w:rsidRPr="0009119E" w:rsidRDefault="00000000" w:rsidP="003562FC">
      <w:pPr>
        <w:pStyle w:val="Heading3"/>
        <w:spacing w:before="0" w:after="0"/>
        <w:rPr>
          <w:szCs w:val="20"/>
        </w:rPr>
      </w:pPr>
      <w:bookmarkStart w:id="37" w:name="_Toc35"/>
      <w:r w:rsidRPr="0009119E">
        <w:rPr>
          <w:szCs w:val="20"/>
        </w:rPr>
        <w:t>6.3.2 Recruitment, Enrollment and Retention</w:t>
      </w:r>
      <w:bookmarkEnd w:id="37"/>
    </w:p>
    <w:p w14:paraId="32F8EB1A" w14:textId="77777777" w:rsidR="003562FC" w:rsidRDefault="00000000" w:rsidP="003562FC">
      <w:r w:rsidRPr="0009119E">
        <w:t xml:space="preserve">Once informed consent is obtained, participants are considered enrolled in the study. The enrollment goal is to have </w:t>
      </w:r>
      <w:r w:rsidRPr="0009119E">
        <w:rPr>
          <w:b/>
          <w:u w:val="single"/>
        </w:rPr>
        <w:t>40 patients</w:t>
      </w:r>
      <w:r w:rsidRPr="0009119E">
        <w:t xml:space="preserve"> sign informed consent. The Principal Investigator decided on this sample size because this is a pilot study, and 40 patients are enough patients to assess the study's feasibility. Following consent, a trained study team member will attach and review the devices with the patient in person.</w:t>
      </w:r>
    </w:p>
    <w:p w14:paraId="12600C4E" w14:textId="77777777" w:rsidR="003562FC" w:rsidRPr="0009119E" w:rsidRDefault="003562FC" w:rsidP="003562FC"/>
    <w:p w14:paraId="09C4C73C" w14:textId="77777777" w:rsidR="003562FC" w:rsidRDefault="00000000" w:rsidP="003562FC">
      <w:r w:rsidRPr="0009119E">
        <w:t>The participants in the study will be recruited from patients receiving care at NYU Langone Obstetrics &amp; Gynecology Associates</w:t>
      </w:r>
      <w:r>
        <w:t xml:space="preserve"> </w:t>
      </w:r>
      <w:r w:rsidRPr="00A47FF3">
        <w:rPr>
          <w:b/>
          <w:bCs/>
          <w:i/>
          <w:iCs/>
        </w:rPr>
        <w:t>under the care of the study sub-investigators.</w:t>
      </w:r>
      <w:r>
        <w:t xml:space="preserve"> </w:t>
      </w:r>
      <w:r w:rsidRPr="0009119E">
        <w:t>. The clinical care of any given patient will be entirely handled by the patient's care team, as per standard practice patient care guidelines.</w:t>
      </w:r>
    </w:p>
    <w:p w14:paraId="5D1BF36E" w14:textId="77777777" w:rsidR="003562FC" w:rsidRPr="0009119E" w:rsidRDefault="003562FC" w:rsidP="003562FC"/>
    <w:p w14:paraId="1456AA5D" w14:textId="77777777" w:rsidR="003562FC" w:rsidRDefault="00000000" w:rsidP="003562FC">
      <w:r w:rsidRPr="0009119E">
        <w:t>A study team member will review enrollment stats on at least a monthly basis with the Principal Investigator and monitor whether the study is on target for enrollment. In case the target enrollment numbers are not being met, the team may loosen the inclusion criteria and IRB approval will be sought before implementing any changes.</w:t>
      </w:r>
    </w:p>
    <w:p w14:paraId="5BD27EBC" w14:textId="77777777" w:rsidR="003562FC" w:rsidRPr="0009119E" w:rsidRDefault="003562FC" w:rsidP="003562FC"/>
    <w:p w14:paraId="3554E10B" w14:textId="77777777" w:rsidR="003562FC" w:rsidRPr="0009119E" w:rsidRDefault="00000000" w:rsidP="003562FC">
      <w:pPr>
        <w:pStyle w:val="Heading3"/>
        <w:spacing w:before="0" w:after="0"/>
        <w:rPr>
          <w:szCs w:val="20"/>
        </w:rPr>
      </w:pPr>
      <w:bookmarkStart w:id="38" w:name="_Toc36"/>
      <w:r w:rsidRPr="0009119E">
        <w:rPr>
          <w:szCs w:val="20"/>
        </w:rPr>
        <w:t>6.3.3 Study Visits</w:t>
      </w:r>
      <w:bookmarkEnd w:id="38"/>
    </w:p>
    <w:p w14:paraId="144A284F" w14:textId="77777777" w:rsidR="00BA44DB" w:rsidRDefault="00000000" w:rsidP="006747AC">
      <w:r w:rsidRPr="0009119E">
        <w:t xml:space="preserve">Eligible patients will be contacted </w:t>
      </w:r>
      <w:r>
        <w:t>either prior to or during</w:t>
      </w:r>
      <w:r w:rsidRPr="0009119E">
        <w:t xml:space="preserve"> their routine clinical visit at 12-weeks’ gestation.</w:t>
      </w:r>
      <w:r>
        <w:t xml:space="preserve"> Participants will be contacted via phone call or MyChart using IRB-approved scripts and recruitment flyer.</w:t>
      </w:r>
      <w:r w:rsidRPr="0009119E">
        <w:t xml:space="preserve"> The participants will sign consent</w:t>
      </w:r>
      <w:r>
        <w:t xml:space="preserve"> forms or e-consent forms in-person during their clinic visit</w:t>
      </w:r>
      <w:r w:rsidRPr="0009119E">
        <w:t xml:space="preserve"> if they want to participate. </w:t>
      </w:r>
      <w:r>
        <w:t xml:space="preserve">For the first study visit, </w:t>
      </w:r>
      <w:r w:rsidR="006747AC">
        <w:t>e</w:t>
      </w:r>
      <w:r w:rsidR="006747AC" w:rsidRPr="0009119E">
        <w:t>nrolled participants will have the study materials (CGM</w:t>
      </w:r>
      <w:r w:rsidR="006747AC">
        <w:t xml:space="preserve">, </w:t>
      </w:r>
      <w:r w:rsidR="006747AC" w:rsidRPr="0009119E">
        <w:t>actigraphy monitor, and relevant accessories) administered in person</w:t>
      </w:r>
      <w:r>
        <w:t>. The research coordinator will assist the patients in attaching and activating the devices.</w:t>
      </w:r>
    </w:p>
    <w:p w14:paraId="7BF912D9" w14:textId="77777777" w:rsidR="00852A8D" w:rsidRDefault="00852A8D" w:rsidP="003562FC"/>
    <w:p w14:paraId="1D54F8DC" w14:textId="77777777" w:rsidR="00852A8D" w:rsidRDefault="00000000" w:rsidP="00852A8D">
      <w:r>
        <w:t xml:space="preserve">For </w:t>
      </w:r>
      <w:r w:rsidR="00D52614">
        <w:t>follow-up</w:t>
      </w:r>
      <w:r>
        <w:t xml:space="preserve"> </w:t>
      </w:r>
      <w:r w:rsidR="00D52614">
        <w:t>study</w:t>
      </w:r>
      <w:r>
        <w:t xml:space="preserve"> visit</w:t>
      </w:r>
      <w:r w:rsidR="00D52614">
        <w:t>s</w:t>
      </w:r>
      <w:r>
        <w:t xml:space="preserve">, if the study team is unable to meet the subject in-person for their follow-up visit or if the patient would prefer to meet virtually, the study visit may be conducted virtually If the study visit is conducted virtually, the study materials </w:t>
      </w:r>
      <w:r w:rsidRPr="0009119E">
        <w:t>(CGM</w:t>
      </w:r>
      <w:r>
        <w:t xml:space="preserve">, </w:t>
      </w:r>
      <w:r w:rsidRPr="0009119E">
        <w:t xml:space="preserve">actigraphy monitor, and relevant accessories) </w:t>
      </w:r>
      <w:r>
        <w:t xml:space="preserve">will be </w:t>
      </w:r>
      <w:r w:rsidRPr="004A21D3">
        <w:t xml:space="preserve">mailed </w:t>
      </w:r>
      <w:r>
        <w:t>to the participant</w:t>
      </w:r>
      <w:r w:rsidRPr="004A21D3">
        <w:t>. The shipping package will consist of the following:</w:t>
      </w:r>
    </w:p>
    <w:p w14:paraId="5FDBC44C" w14:textId="77777777" w:rsidR="006747AC" w:rsidRPr="004A21D3" w:rsidRDefault="006747AC" w:rsidP="00852A8D"/>
    <w:p w14:paraId="0D06702E" w14:textId="77777777" w:rsidR="00852A8D" w:rsidRPr="004A21D3" w:rsidRDefault="00000000" w:rsidP="00852A8D">
      <w:pPr>
        <w:pStyle w:val="ListParagraph"/>
        <w:numPr>
          <w:ilvl w:val="0"/>
          <w:numId w:val="25"/>
        </w:numPr>
        <w:rPr>
          <w:rFonts w:ascii="Arial" w:hAnsi="Arial" w:cs="Arial"/>
          <w:sz w:val="20"/>
        </w:rPr>
      </w:pPr>
      <w:r w:rsidRPr="004A21D3">
        <w:rPr>
          <w:rFonts w:ascii="Arial" w:hAnsi="Arial" w:cs="Arial"/>
          <w:sz w:val="20"/>
        </w:rPr>
        <w:t>CGM bundle - Abbott Freestyle Libre pro CGM (1 sensor</w:t>
      </w:r>
      <w:r w:rsidR="00D350C2">
        <w:rPr>
          <w:rFonts w:ascii="Arial" w:hAnsi="Arial" w:cs="Arial"/>
          <w:sz w:val="20"/>
        </w:rPr>
        <w:t xml:space="preserve"> and reader</w:t>
      </w:r>
      <w:r w:rsidRPr="004A21D3">
        <w:rPr>
          <w:rFonts w:ascii="Arial" w:hAnsi="Arial" w:cs="Arial"/>
          <w:sz w:val="20"/>
        </w:rPr>
        <w:t xml:space="preserve">), </w:t>
      </w:r>
      <w:r>
        <w:rPr>
          <w:rFonts w:ascii="Arial" w:hAnsi="Arial" w:cs="Arial"/>
          <w:sz w:val="20"/>
        </w:rPr>
        <w:t>2</w:t>
      </w:r>
      <w:r w:rsidRPr="004A21D3">
        <w:rPr>
          <w:rFonts w:ascii="Arial" w:hAnsi="Arial" w:cs="Arial"/>
          <w:sz w:val="20"/>
        </w:rPr>
        <w:t xml:space="preserve"> skin adhesive patch</w:t>
      </w:r>
      <w:r w:rsidR="006747AC">
        <w:rPr>
          <w:rFonts w:ascii="Arial" w:hAnsi="Arial" w:cs="Arial"/>
          <w:sz w:val="20"/>
        </w:rPr>
        <w:t>es</w:t>
      </w:r>
      <w:r w:rsidRPr="004A21D3">
        <w:rPr>
          <w:rFonts w:ascii="Arial" w:hAnsi="Arial" w:cs="Arial"/>
          <w:sz w:val="20"/>
        </w:rPr>
        <w:t xml:space="preserve">, </w:t>
      </w:r>
      <w:r>
        <w:rPr>
          <w:rFonts w:ascii="Arial" w:hAnsi="Arial" w:cs="Arial"/>
          <w:sz w:val="20"/>
        </w:rPr>
        <w:t>2</w:t>
      </w:r>
      <w:r w:rsidRPr="004A21D3">
        <w:rPr>
          <w:rFonts w:ascii="Arial" w:hAnsi="Arial" w:cs="Arial"/>
          <w:sz w:val="20"/>
        </w:rPr>
        <w:t xml:space="preserve"> skin wipe</w:t>
      </w:r>
      <w:r w:rsidR="006747AC">
        <w:rPr>
          <w:rFonts w:ascii="Arial" w:hAnsi="Arial" w:cs="Arial"/>
          <w:sz w:val="20"/>
        </w:rPr>
        <w:t>s</w:t>
      </w:r>
      <w:r w:rsidRPr="004A21D3">
        <w:rPr>
          <w:rFonts w:ascii="Arial" w:hAnsi="Arial" w:cs="Arial"/>
          <w:sz w:val="20"/>
        </w:rPr>
        <w:t xml:space="preserve">, </w:t>
      </w:r>
      <w:r>
        <w:rPr>
          <w:rFonts w:ascii="Arial" w:hAnsi="Arial" w:cs="Arial"/>
          <w:sz w:val="20"/>
        </w:rPr>
        <w:t>2</w:t>
      </w:r>
      <w:r w:rsidRPr="004A21D3">
        <w:rPr>
          <w:rFonts w:ascii="Arial" w:hAnsi="Arial" w:cs="Arial"/>
          <w:sz w:val="20"/>
        </w:rPr>
        <w:t xml:space="preserve"> biohazard bag</w:t>
      </w:r>
      <w:r w:rsidR="006747AC">
        <w:rPr>
          <w:rFonts w:ascii="Arial" w:hAnsi="Arial" w:cs="Arial"/>
          <w:sz w:val="20"/>
        </w:rPr>
        <w:t>s</w:t>
      </w:r>
      <w:r w:rsidR="00D350C2">
        <w:rPr>
          <w:rFonts w:ascii="Arial" w:hAnsi="Arial" w:cs="Arial"/>
          <w:sz w:val="20"/>
        </w:rPr>
        <w:t>, 1 selable bag for reader</w:t>
      </w:r>
    </w:p>
    <w:p w14:paraId="4B0A3CA6" w14:textId="77777777" w:rsidR="00852A8D" w:rsidRPr="004A21D3" w:rsidRDefault="009A00A2" w:rsidP="00852A8D">
      <w:pPr>
        <w:pStyle w:val="ListParagraph"/>
        <w:numPr>
          <w:ilvl w:val="0"/>
          <w:numId w:val="25"/>
        </w:numPr>
        <w:rPr>
          <w:rFonts w:ascii="Arial" w:hAnsi="Arial" w:cs="Arial"/>
          <w:sz w:val="20"/>
        </w:rPr>
      </w:pPr>
      <w:r>
        <w:rPr>
          <w:rFonts w:ascii="Arial" w:hAnsi="Arial" w:cs="Arial"/>
          <w:sz w:val="20"/>
        </w:rPr>
        <w:t>Ametris</w:t>
      </w:r>
      <w:r w:rsidRPr="004A21D3">
        <w:rPr>
          <w:rFonts w:ascii="Arial" w:hAnsi="Arial" w:cs="Arial"/>
          <w:sz w:val="20"/>
        </w:rPr>
        <w:t xml:space="preserve"> </w:t>
      </w:r>
      <w:r w:rsidR="00000000">
        <w:rPr>
          <w:rFonts w:ascii="Arial" w:hAnsi="Arial" w:cs="Arial"/>
          <w:sz w:val="20"/>
        </w:rPr>
        <w:t>LEAP</w:t>
      </w:r>
      <w:r w:rsidR="00000000" w:rsidRPr="004A21D3">
        <w:rPr>
          <w:rFonts w:ascii="Arial" w:hAnsi="Arial" w:cs="Arial"/>
          <w:sz w:val="20"/>
        </w:rPr>
        <w:t xml:space="preserve"> - 1 wrist accelerometer, 1 wrist band, </w:t>
      </w:r>
      <w:r w:rsidR="00000000">
        <w:rPr>
          <w:rFonts w:ascii="Arial" w:hAnsi="Arial" w:cs="Arial"/>
          <w:sz w:val="20"/>
        </w:rPr>
        <w:t xml:space="preserve">1-upper arm band, 1 USB to outlet connector, </w:t>
      </w:r>
      <w:r w:rsidR="00000000" w:rsidRPr="004A21D3">
        <w:rPr>
          <w:rFonts w:ascii="Arial" w:hAnsi="Arial" w:cs="Arial"/>
          <w:sz w:val="20"/>
        </w:rPr>
        <w:t xml:space="preserve">and </w:t>
      </w:r>
      <w:r w:rsidR="00000000">
        <w:rPr>
          <w:rFonts w:ascii="Arial" w:hAnsi="Arial" w:cs="Arial"/>
          <w:sz w:val="20"/>
        </w:rPr>
        <w:t xml:space="preserve">1 </w:t>
      </w:r>
      <w:r w:rsidR="00000000" w:rsidRPr="004A21D3">
        <w:rPr>
          <w:rFonts w:ascii="Arial" w:hAnsi="Arial" w:cs="Arial"/>
          <w:sz w:val="20"/>
        </w:rPr>
        <w:t>USB charging cable</w:t>
      </w:r>
    </w:p>
    <w:p w14:paraId="62C57F06" w14:textId="77777777" w:rsidR="00852A8D" w:rsidRPr="004A21D3" w:rsidRDefault="00000000" w:rsidP="00852A8D">
      <w:pPr>
        <w:pStyle w:val="ListParagraph"/>
        <w:numPr>
          <w:ilvl w:val="0"/>
          <w:numId w:val="25"/>
        </w:numPr>
        <w:rPr>
          <w:rFonts w:ascii="Arial" w:hAnsi="Arial" w:cs="Arial"/>
          <w:sz w:val="20"/>
        </w:rPr>
      </w:pPr>
      <w:r w:rsidRPr="004A21D3">
        <w:rPr>
          <w:rFonts w:ascii="Arial" w:hAnsi="Arial" w:cs="Arial"/>
          <w:sz w:val="20"/>
        </w:rPr>
        <w:t>A pre-paid envelope to store the devices after removal</w:t>
      </w:r>
      <w:r>
        <w:rPr>
          <w:rFonts w:ascii="Arial" w:hAnsi="Arial" w:cs="Arial"/>
          <w:sz w:val="20"/>
        </w:rPr>
        <w:t xml:space="preserve"> and return to study team</w:t>
      </w:r>
    </w:p>
    <w:p w14:paraId="4DA6F766" w14:textId="77777777" w:rsidR="00852A8D" w:rsidRPr="004A21D3" w:rsidRDefault="00852A8D" w:rsidP="006747AC"/>
    <w:p w14:paraId="196DE550" w14:textId="77777777" w:rsidR="00852A8D" w:rsidRDefault="00000000" w:rsidP="00852A8D">
      <w:pPr>
        <w:pStyle w:val="CommentText"/>
      </w:pPr>
      <w:r>
        <w:t>S</w:t>
      </w:r>
      <w:r w:rsidRPr="004A21D3">
        <w:t xml:space="preserve">tudy staff will schedule a video call with participants </w:t>
      </w:r>
      <w:r>
        <w:t>once they have received the devices</w:t>
      </w:r>
      <w:r w:rsidRPr="004A21D3">
        <w:t xml:space="preserve">. Staff will assist the participants </w:t>
      </w:r>
      <w:r w:rsidR="00D350C2">
        <w:t>(</w:t>
      </w:r>
      <w:r w:rsidRPr="004A21D3">
        <w:t>remotely</w:t>
      </w:r>
      <w:r w:rsidR="00D350C2">
        <w:t>)</w:t>
      </w:r>
      <w:r w:rsidRPr="004A21D3">
        <w:t xml:space="preserve"> in placing the CGM sensor on their arm and the accelerometer on their wrist. They will then assist the participants in activating the devices.</w:t>
      </w:r>
      <w:r w:rsidR="00D350C2">
        <w:t xml:space="preserve"> To maintain the blinded nature of the study, following device activation, participants will be asked to place the Abbott Freestyle Libre Pro Reader into the sealable bag in the delivery box and to not use the reader for the duration of their </w:t>
      </w:r>
      <w:r w:rsidR="00036FF1">
        <w:t xml:space="preserve"> measurement period</w:t>
      </w:r>
      <w:r w:rsidR="00D350C2">
        <w:t xml:space="preserve">. </w:t>
      </w:r>
      <w:r w:rsidR="00D350C2" w:rsidRPr="004A21D3">
        <w:t xml:space="preserve">Participants will be asked to wear the devices </w:t>
      </w:r>
      <w:r w:rsidR="00D350C2">
        <w:t>for the full</w:t>
      </w:r>
      <w:r w:rsidR="00D350C2" w:rsidRPr="004A21D3">
        <w:t xml:space="preserve"> 14 days</w:t>
      </w:r>
      <w:r w:rsidR="00D350C2">
        <w:t xml:space="preserve"> of the </w:t>
      </w:r>
      <w:r w:rsidR="00036FF1">
        <w:t xml:space="preserve"> measurement period</w:t>
      </w:r>
      <w:r w:rsidR="00D350C2" w:rsidRPr="004A21D3">
        <w:t xml:space="preserve">. </w:t>
      </w:r>
      <w:r w:rsidRPr="004A21D3">
        <w:t>Staff will also instruct participants on how to remove and store the devices</w:t>
      </w:r>
      <w:r w:rsidR="00D350C2">
        <w:t xml:space="preserve"> once the </w:t>
      </w:r>
      <w:r w:rsidR="00036FF1">
        <w:t>measurement period</w:t>
      </w:r>
      <w:r w:rsidR="00D350C2">
        <w:t xml:space="preserve"> is over</w:t>
      </w:r>
      <w:r w:rsidRPr="004A21D3">
        <w:t>.</w:t>
      </w:r>
      <w:r w:rsidR="00D350C2">
        <w:t xml:space="preserve"> If participants have any difficulty managing the study devices during the duration of their </w:t>
      </w:r>
      <w:r w:rsidR="00036FF1">
        <w:t xml:space="preserve"> measurement period</w:t>
      </w:r>
      <w:r w:rsidR="00D350C2">
        <w:t>, additional video conferencing calls may be set up with study team members, as needed. Please note that t</w:t>
      </w:r>
      <w:r w:rsidRPr="004A21D3">
        <w:t>he study does not require subjects to download any apps to their personal smartphones or devices</w:t>
      </w:r>
      <w:r w:rsidR="00D350C2">
        <w:t>.</w:t>
      </w:r>
    </w:p>
    <w:p w14:paraId="2802FF10" w14:textId="77777777" w:rsidR="00852A8D" w:rsidRDefault="00852A8D" w:rsidP="003562FC"/>
    <w:p w14:paraId="15FFC9DA" w14:textId="77777777" w:rsidR="003562FC" w:rsidRDefault="00000000" w:rsidP="003562FC">
      <w:r w:rsidRPr="0009119E">
        <w:lastRenderedPageBreak/>
        <w:t>At each of the five measurement periods following routine clinic visits at 12, 16, 20, 24, and 28-weeks’ gestation, study staff will train participants in wearing devices, how to keep the devices on, activate them, charge them (actigraphy monitor only), take them off, store and return them. Participants can return the devices via return mail or in-person when they come in for their future clinic appointments. We will also send them a survey aimed at assessing their experience with the devices. The survey can be completely electronically or in person at a subsequent clinic appointment, both via REDCap survey.</w:t>
      </w:r>
    </w:p>
    <w:p w14:paraId="10EF7D26" w14:textId="77777777" w:rsidR="003562FC" w:rsidRPr="0009119E" w:rsidRDefault="003562FC" w:rsidP="003562FC"/>
    <w:p w14:paraId="4EA0E32F" w14:textId="77777777" w:rsidR="003562FC" w:rsidRDefault="00000000" w:rsidP="003562FC">
      <w:r w:rsidRPr="0009119E">
        <w:t>The study will conclude after enrollment has closed and all data has been collected.</w:t>
      </w:r>
    </w:p>
    <w:p w14:paraId="0D386DC0" w14:textId="77777777" w:rsidR="003562FC" w:rsidRPr="0009119E" w:rsidRDefault="003562FC" w:rsidP="003562FC"/>
    <w:p w14:paraId="48D712E6" w14:textId="77777777" w:rsidR="003562FC" w:rsidRPr="0009119E" w:rsidRDefault="00000000" w:rsidP="003562FC">
      <w:pPr>
        <w:pStyle w:val="Heading2"/>
        <w:spacing w:before="0" w:after="0"/>
        <w:rPr>
          <w:rFonts w:cs="Arial"/>
          <w:szCs w:val="20"/>
        </w:rPr>
      </w:pPr>
      <w:bookmarkStart w:id="39" w:name="_Toc37"/>
      <w:r w:rsidRPr="0009119E">
        <w:rPr>
          <w:rFonts w:cs="Arial"/>
          <w:szCs w:val="20"/>
        </w:rPr>
        <w:t>6.4 Statistical Method</w:t>
      </w:r>
      <w:bookmarkEnd w:id="39"/>
    </w:p>
    <w:p w14:paraId="7DFCEB93" w14:textId="77777777" w:rsidR="003562FC" w:rsidRPr="0009119E" w:rsidRDefault="00000000" w:rsidP="003562FC">
      <w:pPr>
        <w:pStyle w:val="Heading3"/>
        <w:spacing w:before="0" w:after="0"/>
        <w:rPr>
          <w:szCs w:val="20"/>
        </w:rPr>
      </w:pPr>
      <w:bookmarkStart w:id="40" w:name="_Toc38"/>
      <w:r w:rsidRPr="0009119E">
        <w:rPr>
          <w:szCs w:val="20"/>
        </w:rPr>
        <w:t>6.4.1 Sample Size Considerations</w:t>
      </w:r>
      <w:bookmarkEnd w:id="40"/>
    </w:p>
    <w:p w14:paraId="6AE6676D" w14:textId="77777777" w:rsidR="003562FC" w:rsidRDefault="00000000" w:rsidP="003562FC">
      <w:pPr>
        <w:rPr>
          <w:rFonts w:eastAsiaTheme="minorEastAsia"/>
        </w:rPr>
      </w:pPr>
      <w:bookmarkStart w:id="41" w:name="_Toc39"/>
      <w:r w:rsidRPr="0009119E">
        <w:t>We will recruit a sample size to provide our AI models with sufficient power to accurately detect the AI-guided outcomes proposed. There are no standardized sample size reporting practices for AI</w:t>
      </w:r>
      <w:r w:rsidRPr="0009119E">
        <w:fldChar w:fldCharType="begin"/>
      </w:r>
      <w:r w:rsidRPr="0009119E">
        <w:instrText xml:space="preserve"> ADDIN ZOTERO_ITEM CSL_CITATION {"citationID":"VgJY3wc5","properties":{"formattedCitation":"\\super 30\\nosupersub{}","plainCitation":"30","noteIndex":0},"citationItems":[{"id":"rWXnUXcb/dUR67Ehg","uris":["http://zotero.org/users/6694618/items/793C98PK"],"itemData":{"id":1522,"type":"article-journal","abstract":"Purpose\nThe required training sample size for a particular machine learning (ML) model applied to medical imaging data is often unknown. The purpose of this study was to provide a descriptive review of current sample-size determination methodologies in ML applied to medical imaging and to propose recommendations for future work in the field.\nMethods\nWe conducted a systematic literature search of articles using Medline and Embase with keywords including “machine learning,” “image,” and “sample size.” The search included articles published between 1946 and 2018. Data regarding the ML task, sample size, and train-test pipeline were collected.\nResults\nA total of 167 articles were identified, of which 22 were included for qualitative analysis. There were only 4 studies that discussed sample-size determination methodologies, and 18 that tested the effect of sample size on model performance as part of an exploratory analysis. The observed methods could be categorized as pre hoc model-based approaches, which relied on features of the algorithm, or post hoc curve-fitting approaches requiring empirical testing to model and extrapolate algorithm performance as a function of sample size. Between studies, we observed great variability in performance testing procedures used for curve-fitting, model assessment methods, and reporting of confidence in sample sizes.\nConclusions\nOur study highlights the scarcity of research in training set size determination methodologies applied to ML in medical imaging, emphasizes the need to standardize current reporting practices, and guides future work in development and streamlining of pre hoc and post hoc sample size approaches.\nRésumé\nObjectif\nOn ignore souvent la taille de l’échantillon d'apprentissage nécessaire pour un modèle d'apprentissage artificiel en particulier, appliqué à des données d'imagerie médicale. L'objectif de cette étude était d’établir une synthèse descriptive des méthodologies actuelles visant à déterminer les tailles d’échantillon en apprentissage artificiel appliqué à l'imagerie médicale et de proposer des recommandations pour la réalisation des futurs travaux dans ce domaine.\nMéthodes\nNous avons effectué une recherche systématique de documentation scientifique des articles disponibles dans les bases de données Medline et Embase, en utilisant notamment les mots clés suivants : « apprentissage artificiel », « image » et « taille d’échantillon ». Cette recherche portait sur des articles publiés entre 1946 et 2018. Les données associées aux activités d'apprentissage artificiel, aux tailles d’échantillon et aux systèmes de test-apprentissage ont été recueillies.\nRésultats\nAu total, 167 articles ont été identifiés, dont 22 ont été sélectionnés pour faire l'objet d'une analyse qualitative. Seulement 4 études abordaient les méthodologies de détermination de taille d’échantillon et 18 évaluaient l'impact de la taille d’échantillon sur l'efficacité du modèle, au sein d'une analyse exploratoire. Les méthodes observées pouvaient être classées en deux catégories: les méthodes basées sur un modèle a priori (pre hoc) fondées sur les propriétés de l'algorithme et les méthodes d'ajustement de courbe a posteriori (post hoc) nécessitant des analyses empiriques du modèle et l'extrapolation des performances de l'algorithme en tant que fonction de la taille d’échantillon. Nous avons observé une forte variabilité entre les études au niveau de l'efficacité des procédures d'analyse utilisées pour les méthodes d’évaluation des modèles d'ajustement de courbe et de la confiance relative à la taille de l’échantillon.\nConclusions\nNotre étude met en évidence la rareté des études comportant des méthodologies de détermination de taille d’échantillon pour l'apprentissage artificiel appliqué à l'imagerie médicale. Elle souligne le besoin de standardiser les pratiques actuelles de communication de données et préconise les travaux ultérieurs à réaliser au niveau de la mise au point et de la simplification des démarches a priori et a posteriori de détermination de la taille d’échantillon.","container-title":"Canadian Association of Radiologists Journal","DOI":"10.1016/j.carj.2019.06.002","ISSN":"0846-5371","issue":"4","journalAbbreviation":"Canadian Association of Radiologists Journal","language":"en","page":"344-353","source":"ScienceDirect","title":"Sample-Size Determination Methodologies for Machine Learning in Medical Imaging Research: A Systematic Review","title-short":"Sample-Size Determination Methodologies for Machine Learning in Medical Imaging Research","volume":"70","author":[{"family":"Balki","given":"Indranil"},{"family":"Amirabadi","given":"Afsaneh"},{"family":"Levman","given":"Jacob"},{"family":"Martel","given":"Anne L."},{"family":"Emersic","given":"Ziga"},{"family":"Meden","given":"Blaz"},{"family":"Garcia-Pedrero","given":"Angel"},{"family":"Ramirez","given":"Saul C."},{"family":"Kong","given":"Dehan"},{"family":"Moody","given":"Alan R."},{"family":"Tyrrell","given":"Pascal N."}],"issued":{"date-parts":[["2019",11,1]]}}}],"schema":"https://github.com/citation-style-language/schema/raw/master/csl-citation.json"} </w:instrText>
      </w:r>
      <w:r w:rsidRPr="0009119E">
        <w:fldChar w:fldCharType="separate"/>
      </w:r>
      <w:r w:rsidRPr="0009119E">
        <w:rPr>
          <w:vertAlign w:val="superscript"/>
        </w:rPr>
        <w:t>30</w:t>
      </w:r>
      <w:r w:rsidRPr="0009119E">
        <w:fldChar w:fldCharType="end"/>
      </w:r>
      <w:r w:rsidRPr="0009119E">
        <w:t>, therefore we use an estimation technique based on inter-cluster separation</w:t>
      </w:r>
      <w:r w:rsidRPr="0009119E">
        <w:fldChar w:fldCharType="begin"/>
      </w:r>
      <w:r w:rsidRPr="0009119E">
        <w:instrText xml:space="preserve"> ADDIN ZOTERO_ITEM CSL_CITATION {"citationID":"RBe7hZUY","properties":{"formattedCitation":"\\super 31\\nosupersub{}","plainCitation":"31","noteIndex":0},"citationItems":[{"id":"rWXnUXcb/gVFTzhda","uris":["http://zotero.org/users/6694618/items/A5G38NX2"],"itemData":{"id":1525,"type":"article-journal","abstract":"Cluster algorithms are gaining in popularity in biomedical research due to their compelling ability to identify discrete subgroups in data, and their increasing accessibility in mainstream software. While guidelines exist for algorithm selection and outcome evaluation, there are no firmly established ways of computing a priori statistical power for cluster analysis. Here, we estimated power and classification accuracy for common analysis pipelines through simulation. We systematically varied subgroup size, number, separation (effect size), and covariance structure. We then subjected generated datasets to dimensionality reduction approaches (none, multi-dimensional scaling, or uniform manifold approximation and projection) and cluster algorithms (k-means, agglomerative hierarchical clustering with Ward or average linkage and Euclidean or cosine distance, HDBSCAN). Finally, we directly compared the statistical power of discrete (k-means), “fuzzy” (c-means), and finite mixture modelling approaches (which include latent class analysis and latent profile analysis).","container-title":"BMC Bioinformatics","DOI":"10.1186/s12859-022-04675-1","ISSN":"1471-2105","issue":"1","journalAbbreviation":"BMC Bioinformatics","page":"205","source":"BioMed Central","title":"Statistical power for cluster analysis","volume":"23","author":[{"family":"Dalmaijer","given":"Edwin S."},{"family":"Nord","given":"Camilla L."},{"family":"Astle","given":"Duncan E."}],"issued":{"date-parts":[["2022",5,31]]}}}],"schema":"https://github.com/citation-style-language/schema/raw/master/csl-citation.json"} </w:instrText>
      </w:r>
      <w:r w:rsidRPr="0009119E">
        <w:fldChar w:fldCharType="separate"/>
      </w:r>
      <w:r w:rsidRPr="0009119E">
        <w:rPr>
          <w:vertAlign w:val="superscript"/>
        </w:rPr>
        <w:t>31</w:t>
      </w:r>
      <w:r w:rsidRPr="0009119E">
        <w:fldChar w:fldCharType="end"/>
      </w:r>
      <w:r w:rsidRPr="0009119E">
        <w:t xml:space="preserve"> that closely aligns with our detection tasks. We use this approach to estimate the sample size based on the following two tasks:</w:t>
      </w:r>
      <w:r w:rsidRPr="0009119E">
        <w:rPr>
          <w:rFonts w:eastAsiaTheme="minorEastAsia"/>
        </w:rPr>
        <w:t xml:space="preserve"> (1)</w:t>
      </w:r>
      <w:r w:rsidRPr="0009119E">
        <w:rPr>
          <w:rFonts w:eastAsiaTheme="minorEastAsia"/>
          <w:u w:val="single"/>
        </w:rPr>
        <w:t xml:space="preserve"> AI-guided meal detection</w:t>
      </w:r>
      <w:r w:rsidRPr="0009119E">
        <w:rPr>
          <w:rFonts w:eastAsiaTheme="minorEastAsia"/>
        </w:rPr>
        <w:t xml:space="preserve">: We focus on two key features our AI meal detector: the height and time to peak of a candidate PMGR. Based on PI Barua’s previous analysis </w:t>
      </w:r>
      <w:r w:rsidRPr="0009119E">
        <w:rPr>
          <w:rFonts w:eastAsiaTheme="minorEastAsia"/>
        </w:rPr>
        <w:fldChar w:fldCharType="begin"/>
      </w:r>
      <w:r w:rsidRPr="0009119E">
        <w:rPr>
          <w:rFonts w:eastAsiaTheme="minorEastAsia"/>
        </w:rPr>
        <w:instrText xml:space="preserve"> ADDIN ZOTERO_ITEM CSL_CITATION {"citationID":"UFjAMFkd","properties":{"formattedCitation":"\\super 32\\nosupersub{}","plainCitation":"32","noteIndex":0},"citationItems":[{"id":"rWXnUXcb/1p7ouVGa","uris":["http://zotero.org/users/6694618/items/GEWIMTWX"],"itemData":{"id":1167,"type":"article-journal","container-title":"eClinicalMedicine","DOI":"10.1016/j.eclinm.2021.101241","ISSN":"2589-5370","journalAbbreviation":"eClinicalMedicine","language":"English","note":"publisher: Elsevier\nPMID: 34988413","source":"www.thelancet.com","title":"The northeast glucose drift: Stratification of post-breakfast dysglycemia among predominantly Hispanic/Latino adults at-risk or with type 2 diabetes","title-short":"The northeast glucose drift","URL":"https://www.thelancet.com/journals/eclinm/article/PIIS2589-5370(21)00522-8/fulltext","volume":"43","author":[{"family":"Barua","given":"Souptik"},{"family":"Sabharwal","given":"Ashutosh"},{"family":"Glantz","given":"Namino"},{"family":"Conneely","given":"Casey"},{"family":"Larez","given":"Arianna"},{"family":"Bevier","given":"Wendy"},{"family":"Kerr","given":"David"}],"accessed":{"date-parts":[["2022",6,26]]},"issued":{"date-parts":[["2022",1,1]]}}}],"schema":"https://github.com/citation-style-language/schema/raw/master/csl-citation.json"} </w:instrText>
      </w:r>
      <w:r w:rsidRPr="0009119E">
        <w:rPr>
          <w:rFonts w:eastAsiaTheme="minorEastAsia"/>
        </w:rPr>
        <w:fldChar w:fldCharType="separate"/>
      </w:r>
      <w:r w:rsidRPr="0009119E">
        <w:rPr>
          <w:vertAlign w:val="superscript"/>
        </w:rPr>
        <w:t>32</w:t>
      </w:r>
      <w:r w:rsidRPr="0009119E">
        <w:rPr>
          <w:rFonts w:eastAsiaTheme="minorEastAsia"/>
        </w:rPr>
        <w:fldChar w:fldCharType="end"/>
      </w:r>
      <w:r w:rsidRPr="0009119E">
        <w:rPr>
          <w:rFonts w:eastAsiaTheme="minorEastAsia"/>
        </w:rPr>
        <w:t>, we estimate effect sizes of 4 and 2 for these two features. Using the inter-cluster estimation method, we will have &gt;80% power to accurately classify meals vs non-meals using 30 participants. (2)</w:t>
      </w:r>
      <w:r w:rsidRPr="0009119E">
        <w:rPr>
          <w:rFonts w:eastAsiaTheme="minorEastAsia"/>
          <w:u w:val="single"/>
        </w:rPr>
        <w:t xml:space="preserve"> AI-guided clustering of BP trajectories:</w:t>
      </w:r>
      <w:r w:rsidRPr="0009119E">
        <w:rPr>
          <w:rFonts w:eastAsiaTheme="minorEastAsia"/>
        </w:rPr>
        <w:t xml:space="preserve"> Similarly, we focus on two key features for our AI ABPM model:MESOR of the SBP and DBP. Based on previously published data</w:t>
      </w:r>
      <w:r w:rsidRPr="0009119E">
        <w:rPr>
          <w:rFonts w:eastAsiaTheme="minorEastAsia"/>
        </w:rPr>
        <w:fldChar w:fldCharType="begin"/>
      </w:r>
      <w:r w:rsidRPr="0009119E">
        <w:rPr>
          <w:rFonts w:eastAsiaTheme="minorEastAsia"/>
        </w:rPr>
        <w:instrText xml:space="preserve"> ADDIN ZOTERO_ITEM CSL_CITATION {"citationID":"P9jsb8zd","properties":{"formattedCitation":"\\super 33\\nosupersub{}","plainCitation":"33","noteIndex":0},"citationItems":[{"id":"rWXnUXcb/SfcGAaAJ","uris":["http://zotero.org/users/6694618/items/H8L4DGLG"],"itemData":{"id":1528,"type":"article-journal","abstract":"Changes in circadian variation of blood pressure (BP) could be used either to predict preeclampsia or to assess its severity. We examined and compared characteristics of circadian variability in BP in women with both healthy and complicated pregnancies who were systematically monitored throughout gestation.We analyzed 2430 BP series sampled by ambulatory monitoring for 48 h once every 4 weeks from the first obstetric visit until delivery in 235 women with uncomplicated pregnancies, 128 with gestational hypertension, and 40 with preeclampsia. The circadian pattern of BP variation for each group and trimester of gestation was established by population multiple-components analysis.The differences in 24-h mean and amplitude between healthy and complicated pregnancies were highly significant in all trimesters (P &amp;lt; 0.001). Results further indicated similar circadian characteristics between gestational hypertension and preeclampsia in the first trimester of pregnancy. The difference between these two groups in 24-h mean was statistically significant for systolic (P = .002) and diastolic BP (P = .038) in the second trimester and, to a larger extent, in the third trimester (P &amp;lt; 0.001).The differences in BP between healthy and complicated pregnancies that can be observed as early as in the first trimester of pregnancy are found when both systolic and diastolic BP for women with a later diagnosis of gestational hypertension or preeclampsia are well within the accepted range of normotension. These differences offer new end points that may lead to an early identification of hypertensive complications in pregnancy as well as to the establishment of prophylactic intervention. Am J Hypertens 2003;16:200–208 @ 2003 American Journal of Hypertension, Ltd.","container-title":"American Journal of Hypertension","DOI":"10.1016/S0895-7061(02)03254-5","ISSN":"0895-7061","issue":"3","journalAbbreviation":"American Journal of Hypertension","page":"200-208","source":"Silverchair","title":"Differences in circadian blood pressure variability during gestation between healthy and complicated pregnancies*:","title-short":"Differences in circadian blood pressure variability during gestation between healthy and complicated pregnancies*","volume":"16","author":[{"family":"Hermida","given":"Ramón C."},{"family":"Ayala","given":"Diana E."},{"family":"Mojón","given":"Artemio"},{"family":"Fernández","given":"José R."},{"family":"Alonso","given":"Ignacio"},{"family":"Aguilar","given":"María F."},{"family":"Ucieda","given":"Rafael"},{"family":"Iglesias","given":"Manuel"}],"issued":{"date-parts":[["2003",3,1]]}}}],"schema":"https://github.com/citation-style-language/schema/raw/master/csl-citation.json"} </w:instrText>
      </w:r>
      <w:r w:rsidRPr="0009119E">
        <w:rPr>
          <w:rFonts w:eastAsiaTheme="minorEastAsia"/>
        </w:rPr>
        <w:fldChar w:fldCharType="separate"/>
      </w:r>
      <w:r w:rsidRPr="0009119E">
        <w:rPr>
          <w:vertAlign w:val="superscript"/>
        </w:rPr>
        <w:t>33</w:t>
      </w:r>
      <w:r w:rsidRPr="0009119E">
        <w:rPr>
          <w:rFonts w:eastAsiaTheme="minorEastAsia"/>
        </w:rPr>
        <w:fldChar w:fldCharType="end"/>
      </w:r>
      <w:r w:rsidRPr="0009119E">
        <w:rPr>
          <w:rFonts w:eastAsiaTheme="minorEastAsia"/>
        </w:rPr>
        <w:t xml:space="preserve">, the individual effect sizes for MESOR-SBP and MESOR-DBP are 3 each. Using the inter-cluster estimation method, we will have &gt;80% power using 30 participants to accurately classify normotensive pregnancy-like BP trajectories vs HDP-like BP trajectories. </w:t>
      </w:r>
    </w:p>
    <w:p w14:paraId="241AB8B6" w14:textId="77777777" w:rsidR="003562FC" w:rsidRPr="0009119E" w:rsidRDefault="003562FC" w:rsidP="003562FC">
      <w:pPr>
        <w:rPr>
          <w:rFonts w:eastAsiaTheme="minorEastAsia"/>
          <w:u w:val="single"/>
        </w:rPr>
      </w:pPr>
    </w:p>
    <w:p w14:paraId="302CD830" w14:textId="77777777" w:rsidR="003562FC" w:rsidRDefault="00000000" w:rsidP="003562FC">
      <w:pPr>
        <w:rPr>
          <w:rFonts w:eastAsiaTheme="minorEastAsia"/>
        </w:rPr>
      </w:pPr>
      <w:r w:rsidRPr="0009119E">
        <w:rPr>
          <w:rFonts w:eastAsiaTheme="minorEastAsia"/>
        </w:rPr>
        <w:t>Assuming an attrition rate of 25%</w:t>
      </w:r>
      <w:r>
        <w:rPr>
          <w:rFonts w:eastAsiaTheme="minorEastAsia"/>
        </w:rPr>
        <w:t xml:space="preserve"> for the high-risk patients, and an attrition rate of 40% for the low-risk subjects</w:t>
      </w:r>
      <w:r w:rsidRPr="0009119E">
        <w:rPr>
          <w:rFonts w:eastAsiaTheme="minorEastAsia"/>
        </w:rPr>
        <w:t xml:space="preserve">, we will enroll </w:t>
      </w:r>
      <w:r w:rsidRPr="0009119E">
        <w:rPr>
          <w:rFonts w:eastAsiaTheme="minorEastAsia"/>
          <w:b/>
          <w:bCs/>
        </w:rPr>
        <w:t>4</w:t>
      </w:r>
      <w:r>
        <w:rPr>
          <w:rFonts w:eastAsiaTheme="minorEastAsia"/>
          <w:b/>
          <w:bCs/>
        </w:rPr>
        <w:t>3</w:t>
      </w:r>
      <w:r w:rsidRPr="0009119E">
        <w:rPr>
          <w:rFonts w:eastAsiaTheme="minorEastAsia"/>
        </w:rPr>
        <w:t xml:space="preserve"> participants for our study to ensure the desired sample of 30 participants. Low-risk participants are expected to have low glucose variability</w:t>
      </w:r>
      <w:r w:rsidRPr="0009119E">
        <w:rPr>
          <w:rFonts w:eastAsiaTheme="minorEastAsia"/>
        </w:rPr>
        <w:fldChar w:fldCharType="begin"/>
      </w:r>
      <w:r w:rsidRPr="0009119E">
        <w:rPr>
          <w:rFonts w:eastAsiaTheme="minorEastAsia"/>
        </w:rPr>
        <w:instrText xml:space="preserve"> ADDIN ZOTERO_ITEM CSL_CITATION {"citationID":"j9Y1fBZa","properties":{"formattedCitation":"\\super 32\\nosupersub{}","plainCitation":"32","noteIndex":0},"citationItems":[{"id":"rWXnUXcb/1p7ouVGa","uris":["http://zotero.org/users/6694618/items/GEWIMTWX"],"itemData":{"id":1167,"type":"article-journal","container-title":"eClinicalMedicine","DOI":"10.1016/j.eclinm.2021.101241","ISSN":"2589-5370","journalAbbreviation":"eClinicalMedicine","language":"English","note":"publisher: Elsevier\nPMID: 34988413","source":"www.thelancet.com","title":"The northeast glucose drift: Stratification of post-breakfast dysglycemia among predominantly Hispanic/Latino adults at-risk or with type 2 diabetes","title-short":"The northeast glucose drift","URL":"https://www.thelancet.com/journals/eclinm/article/PIIS2589-5370(21)00522-8/fulltext","volume":"43","author":[{"family":"Barua","given":"Souptik"},{"family":"Sabharwal","given":"Ashutosh"},{"family":"Glantz","given":"Namino"},{"family":"Conneely","given":"Casey"},{"family":"Larez","given":"Arianna"},{"family":"Bevier","given":"Wendy"},{"family":"Kerr","given":"David"}],"accessed":{"date-parts":[["2022",6,26]]},"issued":{"date-parts":[["2022",1,1]]}}}],"schema":"https://github.com/citation-style-language/schema/raw/master/csl-citation.json"} </w:instrText>
      </w:r>
      <w:r w:rsidRPr="0009119E">
        <w:rPr>
          <w:rFonts w:eastAsiaTheme="minorEastAsia"/>
        </w:rPr>
        <w:fldChar w:fldCharType="separate"/>
      </w:r>
      <w:r w:rsidRPr="0009119E">
        <w:rPr>
          <w:vertAlign w:val="superscript"/>
        </w:rPr>
        <w:t>32</w:t>
      </w:r>
      <w:r w:rsidRPr="0009119E">
        <w:rPr>
          <w:rFonts w:eastAsiaTheme="minorEastAsia"/>
        </w:rPr>
        <w:fldChar w:fldCharType="end"/>
      </w:r>
      <w:r w:rsidRPr="0009119E">
        <w:rPr>
          <w:rFonts w:eastAsiaTheme="minorEastAsia"/>
        </w:rPr>
        <w:t xml:space="preserve"> and BP variation</w:t>
      </w:r>
      <w:r w:rsidRPr="0009119E">
        <w:rPr>
          <w:rFonts w:eastAsiaTheme="minorEastAsia"/>
        </w:rPr>
        <w:fldChar w:fldCharType="begin"/>
      </w:r>
      <w:r w:rsidRPr="0009119E">
        <w:rPr>
          <w:rFonts w:eastAsiaTheme="minorEastAsia"/>
        </w:rPr>
        <w:instrText xml:space="preserve"> ADDIN ZOTERO_ITEM CSL_CITATION {"citationID":"wjuPLMMc","properties":{"formattedCitation":"\\super 33\\nosupersub{}","plainCitation":"33","noteIndex":0},"citationItems":[{"id":"rWXnUXcb/SfcGAaAJ","uris":["http://zotero.org/users/6694618/items/H8L4DGLG"],"itemData":{"id":1528,"type":"article-journal","abstract":"Changes in circadian variation of blood pressure (BP) could be used either to predict preeclampsia or to assess its severity. We examined and compared characteristics of circadian variability in BP in women with both healthy and complicated pregnancies who were systematically monitored throughout gestation.We analyzed 2430 BP series sampled by ambulatory monitoring for 48 h once every 4 weeks from the first obstetric visit until delivery in 235 women with uncomplicated pregnancies, 128 with gestational hypertension, and 40 with preeclampsia. The circadian pattern of BP variation for each group and trimester of gestation was established by population multiple-components analysis.The differences in 24-h mean and amplitude between healthy and complicated pregnancies were highly significant in all trimesters (P &amp;lt; 0.001). Results further indicated similar circadian characteristics between gestational hypertension and preeclampsia in the first trimester of pregnancy. The difference between these two groups in 24-h mean was statistically significant for systolic (P = .002) and diastolic BP (P = .038) in the second trimester and, to a larger extent, in the third trimester (P &amp;lt; 0.001).The differences in BP between healthy and complicated pregnancies that can be observed as early as in the first trimester of pregnancy are found when both systolic and diastolic BP for women with a later diagnosis of gestational hypertension or preeclampsia are well within the accepted range of normotension. These differences offer new end points that may lead to an early identification of hypertensive complications in pregnancy as well as to the establishment of prophylactic intervention. Am J Hypertens 2003;16:200–208 @ 2003 American Journal of Hypertension, Ltd.","container-title":"American Journal of Hypertension","DOI":"10.1016/S0895-7061(02)03254-5","ISSN":"0895-7061","issue":"3","journalAbbreviation":"American Journal of Hypertension","page":"200-208","source":"Silverchair","title":"Differences in circadian blood pressure variability during gestation between healthy and complicated pregnancies*:","title-short":"Differences in circadian blood pressure variability during gestation between healthy and complicated pregnancies*","volume":"16","author":[{"family":"Hermida","given":"Ramón C."},{"family":"Ayala","given":"Diana E."},{"family":"Mojón","given":"Artemio"},{"family":"Fernández","given":"José R."},{"family":"Alonso","given":"Ignacio"},{"family":"Aguilar","given":"María F."},{"family":"Ucieda","given":"Rafael"},{"family":"Iglesias","given":"Manuel"}],"issued":{"date-parts":[["2003",3,1]]}}}],"schema":"https://github.com/citation-style-language/schema/raw/master/csl-citation.json"} </w:instrText>
      </w:r>
      <w:r w:rsidRPr="0009119E">
        <w:rPr>
          <w:rFonts w:eastAsiaTheme="minorEastAsia"/>
        </w:rPr>
        <w:fldChar w:fldCharType="separate"/>
      </w:r>
      <w:r w:rsidRPr="0009119E">
        <w:rPr>
          <w:vertAlign w:val="superscript"/>
        </w:rPr>
        <w:t>33</w:t>
      </w:r>
      <w:r w:rsidRPr="0009119E">
        <w:rPr>
          <w:rFonts w:eastAsiaTheme="minorEastAsia"/>
        </w:rPr>
        <w:fldChar w:fldCharType="end"/>
      </w:r>
      <w:r w:rsidRPr="0009119E">
        <w:rPr>
          <w:rFonts w:eastAsiaTheme="minorEastAsia"/>
        </w:rPr>
        <w:t xml:space="preserve">, and vice-versa for high-risk. Number of samples that AI models need is proportional to the amount of variability to be explained. As such, we will recruit </w:t>
      </w:r>
      <w:r>
        <w:rPr>
          <w:rFonts w:eastAsiaTheme="minorEastAsia"/>
        </w:rPr>
        <w:t xml:space="preserve">8 </w:t>
      </w:r>
      <w:r w:rsidRPr="0009119E">
        <w:rPr>
          <w:rFonts w:eastAsiaTheme="minorEastAsia"/>
        </w:rPr>
        <w:t xml:space="preserve"> participants with low likelihood and 35 participants with high likelihood of developing GDM based on the HDP and GDM risk criteria outlined in section 5.3.2. </w:t>
      </w:r>
    </w:p>
    <w:p w14:paraId="436E7A83" w14:textId="77777777" w:rsidR="003562FC" w:rsidRPr="0009119E" w:rsidRDefault="003562FC" w:rsidP="003562FC">
      <w:pPr>
        <w:rPr>
          <w:rFonts w:eastAsiaTheme="minorEastAsia"/>
        </w:rPr>
      </w:pPr>
    </w:p>
    <w:p w14:paraId="005EBB9A" w14:textId="77777777" w:rsidR="003562FC" w:rsidRPr="0009119E" w:rsidRDefault="00000000" w:rsidP="003562FC">
      <w:pPr>
        <w:pStyle w:val="Heading3"/>
        <w:spacing w:before="0" w:after="0"/>
        <w:rPr>
          <w:szCs w:val="20"/>
        </w:rPr>
      </w:pPr>
      <w:r w:rsidRPr="0009119E">
        <w:rPr>
          <w:szCs w:val="20"/>
        </w:rPr>
        <w:t>6.4.2 Planned Analysis</w:t>
      </w:r>
      <w:bookmarkEnd w:id="41"/>
    </w:p>
    <w:p w14:paraId="4D4FA569" w14:textId="77777777" w:rsidR="003562FC" w:rsidRPr="0009119E" w:rsidRDefault="00000000" w:rsidP="003562FC">
      <w:r w:rsidRPr="0009119E">
        <w:rPr>
          <w:b/>
          <w:bCs/>
        </w:rPr>
        <w:t>Primary Analyses</w:t>
      </w:r>
    </w:p>
    <w:p w14:paraId="03899C45" w14:textId="77777777" w:rsidR="003562FC" w:rsidRPr="0009119E" w:rsidRDefault="00000000" w:rsidP="003562FC">
      <w:r w:rsidRPr="0009119E">
        <w:t>Data analyses for the primary outcome variables are as follows:</w:t>
      </w:r>
    </w:p>
    <w:p w14:paraId="513CACE0" w14:textId="77777777" w:rsidR="003562FC" w:rsidRPr="0009119E" w:rsidRDefault="00000000" w:rsidP="003562FC">
      <w:pPr>
        <w:numPr>
          <w:ilvl w:val="0"/>
          <w:numId w:val="17"/>
        </w:numPr>
      </w:pPr>
      <w:r w:rsidRPr="0009119E">
        <w:t>Number of days of CGM wear -The Abbott Freestyle Libre Pro CGM records a glucose measurement every 15 minutes. We will exclude the first two hours of data to account for one-hour warmup time required by the Freestyle Libre Pro sensor with a further one-hour buffer time to handle any latency in warmup, all subsequent CGM readings will be considered valid readings for our analyses. Next, we will calculate the days of CGM wear as one plus the difference in dates between the first valid glucose reading and the final valid glucose reading.</w:t>
      </w:r>
    </w:p>
    <w:p w14:paraId="1FC0F4DA" w14:textId="77777777" w:rsidR="003562FC" w:rsidRPr="0009119E" w:rsidRDefault="00000000" w:rsidP="003562FC">
      <w:pPr>
        <w:numPr>
          <w:ilvl w:val="0"/>
          <w:numId w:val="17"/>
        </w:numPr>
      </w:pPr>
      <w:r w:rsidRPr="0009119E">
        <w:t>Number of days with at least 10h of actigraphy monitor worn during the day - We will compute the duration of wear for each day based on validated wear time detection algorithms such as the Troiano</w:t>
      </w:r>
      <w:r w:rsidRPr="0009119E">
        <w:rPr>
          <w:vertAlign w:val="superscript"/>
        </w:rPr>
        <w:t>40</w:t>
      </w:r>
      <w:r w:rsidRPr="0009119E">
        <w:t xml:space="preserve"> and Choi algorithms</w:t>
      </w:r>
      <w:r w:rsidRPr="0009119E">
        <w:rPr>
          <w:vertAlign w:val="superscript"/>
        </w:rPr>
        <w:t>25</w:t>
      </w:r>
      <w:r w:rsidRPr="0009119E">
        <w:t>. Next, we will count the number of days with at least 10h of valid wear time.</w:t>
      </w:r>
    </w:p>
    <w:p w14:paraId="487E231D" w14:textId="77777777" w:rsidR="003562FC" w:rsidRPr="0009119E" w:rsidRDefault="00000000" w:rsidP="003562FC">
      <w:pPr>
        <w:numPr>
          <w:ilvl w:val="0"/>
          <w:numId w:val="17"/>
        </w:numPr>
      </w:pPr>
      <w:r w:rsidRPr="0009119E">
        <w:t>Number of days with actigraphy monitor worn during sleep -We will apply the wear time detection and Cole-Kripke sleep scoring algorithm</w:t>
      </w:r>
      <w:r w:rsidRPr="0009119E">
        <w:rPr>
          <w:vertAlign w:val="superscript"/>
        </w:rPr>
        <w:t>27</w:t>
      </w:r>
      <w:r w:rsidRPr="0009119E">
        <w:t xml:space="preserve"> to the actigraphy monitor data to identify sleep periods for each day. A valid sleep period will be a time period where a sleep period is detected and the sleep period falls within a valid nighttime period, which we define as 21:00h-08:59h. This is done to ensure that we do not erroneously count non-wear periods as sleep periods. Finally, we will count the number of days with at least one valid sleep period to estimate number of days with actigraphy monitor worn during sleep.</w:t>
      </w:r>
    </w:p>
    <w:p w14:paraId="2A15FA29" w14:textId="77777777" w:rsidR="003562FC" w:rsidRPr="0009119E" w:rsidRDefault="00000000" w:rsidP="003562FC">
      <w:pPr>
        <w:numPr>
          <w:ilvl w:val="0"/>
          <w:numId w:val="17"/>
        </w:numPr>
      </w:pPr>
      <w:r w:rsidRPr="0009119E">
        <w:t>Number of days with &gt;20 daytime and &gt;7 overnight BP readings- AHA ABPM guidelines</w:t>
      </w:r>
      <w:r w:rsidRPr="0009119E">
        <w:fldChar w:fldCharType="begin"/>
      </w:r>
      <w:r w:rsidRPr="0009119E">
        <w:instrText xml:space="preserve"> ADDIN ZOTERO_ITEM CSL_CITATION {"citationID":"mEuL4O9D","properties":{"formattedCitation":"\\super 22\\nosupersub{}","plainCitation":"22","noteIndex":0},"citationItems":[{"id":835,"uris":["http://zotero.org/users/11635066/items/MI94QYCJ"],"itemData":{"id":835,"type":"article-journal","container-title":"Hypertension","DOI":"10.1161/HYPERTENSIONAHA.113.02148","issue":"6","note":"publisher: American Heart Association","page":"988-994","source":"ahajournals.org (Atypon)","title":"Ambulatory Blood Pressure Measurement","volume":"62","author":[{"family":"O’Brien","given":"Eoin"},{"family":"Parati","given":"Gianfranco"},{"family":"Stergiou","given":"George"}],"issued":{"date-parts":[["2013",12]]}}}],"schema":"https://github.com/citation-style-language/schema/raw/master/csl-citation.json"} </w:instrText>
      </w:r>
      <w:r w:rsidRPr="0009119E">
        <w:fldChar w:fldCharType="separate"/>
      </w:r>
      <w:r w:rsidRPr="0009119E">
        <w:rPr>
          <w:vertAlign w:val="superscript"/>
        </w:rPr>
        <w:t>22</w:t>
      </w:r>
      <w:r w:rsidRPr="0009119E">
        <w:fldChar w:fldCharType="end"/>
      </w:r>
      <w:r w:rsidRPr="0009119E">
        <w:t xml:space="preserve"> recommend least 20 readings during the daytime (09:00-20:59h) and 7 overnight (01:00-05:59h) for confident interpretation; assuming at least one reading every 30 minutes. The AHA recommends excluding rising (06:00-08:59h) and retiring (21:00-00:59h) periods from the calculations. We will therefore compute the number of days with &gt;20 daytime and &gt;7 overnight BP readings. We will also divide the daytime and overnight period into 30-min windows, and calculate what percentage of the windows had at least one reading.</w:t>
      </w:r>
    </w:p>
    <w:p w14:paraId="282ABC94" w14:textId="77777777" w:rsidR="003562FC" w:rsidRDefault="003562FC" w:rsidP="003562FC">
      <w:pPr>
        <w:rPr>
          <w:b/>
          <w:bCs/>
        </w:rPr>
      </w:pPr>
    </w:p>
    <w:p w14:paraId="0A9150C3" w14:textId="77777777" w:rsidR="004B3A1E" w:rsidRDefault="004B3A1E" w:rsidP="003562FC">
      <w:pPr>
        <w:rPr>
          <w:b/>
          <w:bCs/>
        </w:rPr>
      </w:pPr>
    </w:p>
    <w:p w14:paraId="03D3F7E6" w14:textId="77777777" w:rsidR="003562FC" w:rsidRPr="0009119E" w:rsidRDefault="00000000" w:rsidP="003562FC">
      <w:r w:rsidRPr="0009119E">
        <w:rPr>
          <w:b/>
          <w:bCs/>
        </w:rPr>
        <w:lastRenderedPageBreak/>
        <w:t>Secondary Analyses</w:t>
      </w:r>
    </w:p>
    <w:p w14:paraId="75D9E8BA" w14:textId="77777777" w:rsidR="003562FC" w:rsidRPr="0009119E" w:rsidRDefault="00000000" w:rsidP="003562FC">
      <w:r w:rsidRPr="0009119E">
        <w:t>From CGM:</w:t>
      </w:r>
    </w:p>
    <w:p w14:paraId="43C20DEC" w14:textId="77777777" w:rsidR="003562FC" w:rsidRPr="0009119E" w:rsidRDefault="00000000" w:rsidP="003562FC">
      <w:pPr>
        <w:numPr>
          <w:ilvl w:val="0"/>
          <w:numId w:val="14"/>
        </w:numPr>
      </w:pPr>
      <w:r w:rsidRPr="0009119E">
        <w:t>Average glucose (mg/dL) - Average of all valid glucose readings, where a valid glucose reading has been described in the previous section.</w:t>
      </w:r>
    </w:p>
    <w:p w14:paraId="069CF55F" w14:textId="77777777" w:rsidR="003562FC" w:rsidRPr="0009119E" w:rsidRDefault="00000000" w:rsidP="003562FC">
      <w:pPr>
        <w:numPr>
          <w:ilvl w:val="0"/>
          <w:numId w:val="14"/>
        </w:numPr>
      </w:pPr>
      <w:r w:rsidRPr="0009119E">
        <w:t>Glucose variability, measured using the coefficient of variation (%)-We will compute the average and standard deviation of all valid glucose readings. %CV = 100*SD Glucose/Average Glucose</w:t>
      </w:r>
    </w:p>
    <w:p w14:paraId="4E7E00CC" w14:textId="77777777" w:rsidR="003562FC" w:rsidRPr="0009119E" w:rsidRDefault="00000000" w:rsidP="003562FC">
      <w:pPr>
        <w:numPr>
          <w:ilvl w:val="0"/>
          <w:numId w:val="5"/>
        </w:numPr>
      </w:pPr>
      <w:r w:rsidRPr="0009119E">
        <w:t>Time in range measures: Time in 63-140 mg/dL (%) for all, daytime(06:00h-23:59h), and overnight glucose readings (00:00h-05:59h). Definitions of daytime and overnight are based on the International consensus guidelines on CGM data interpretation</w:t>
      </w:r>
      <w:r w:rsidRPr="0009119E">
        <w:fldChar w:fldCharType="begin"/>
      </w:r>
      <w:r w:rsidRPr="0009119E">
        <w:instrText xml:space="preserve"> ADDIN ZOTERO_ITEM CSL_CITATION {"citationID":"YyTLKMjR","properties":{"formattedCitation":"\\super 15\\nosupersub{}","plainCitation":"15","noteIndex":0},"citationItems":[{"id":104,"uris":["http://zotero.org/users/11635066/items/UJL8JNTZ"],"itemData":{"id":104,"type":"article-journal","abstract":"Randomised controlled trials and other prospective clinical studies for novel medical interventions in people with diabetes have traditionally reported HbA1c as the measure of average blood glucose levels for the 3 months preceding the HbA1c test date. The use of this measure highlights the long-established correlation between HbA1c and relative risk of diabetes complications; the change in the measure, before and after the therapeutic intervention, is used by regulators for the approval of medications for diabetes. However, with the increasing use of continuous glucose monitoring (CGM) in clinical practice, prospective clinical studies are also increasingly using CGM devices to collect data and evaluate glucose profiles among study participants, complementing HbA1c findings, and further assess the effects of therapeutic interventions on HbA1c. Data is collected by CGM devices at 1–5 min intervals, which obtains data on glycaemic excursions and periods of asymptomatic hypoglycaemia or hyperglycaemia (ie, details of glycaemic control that are not provided by HbA1c concentrations alone that are measured continuously and can be analysed in daily, weekly, or monthly timeframes). These CGM-derived metrics are the subject of standardised, internationally agreed reporting formats and should, therefore, be considered for use in all clinical studies in diabetes. The purpose of this consensus statement is to recommend the ways CGM data might be used in prospective clinical studies, either as a specified study endpoint or as supportive complementary glucose metrics, to provide clinical information that can be considered by investigators, regulators, companies, clinicians, and individuals with diabetes who are stakeholders in trial outcomes. In this consensus statement, we provide recommendations on how to optimise CGM-derived glucose data collection in clinical studies, including the specific glucose metrics and specific glucose metrics that should be evaluated. These recommendations have been endorsed by the American Association of Clinical Endocrinologists, the American Diabetes Association, the Association of Diabetes Care and Education Specialists, DiabetesIndia, the European Association for the Study of Diabetes, the International Society for Pediatric and Adolescent Diabetes, the Japanese Diabetes Society, and the Juvenile Diabetes Research Foundation. A standardised approach to CGM data collection and reporting in clinical trials will encourage the use of these metrics and enhance the interpretability of CGM data, which could provide useful information other than HbA1c for informing therapeutic and treatment decisions, particularly related to hypoglycaemia, postprandial hyperglycaemia, and glucose variability.","container-title":"The Lancet Diabetes &amp; Endocrinology","DOI":"10.1016/S2213-8587(22)00319-9","ISSN":"2213-8587","issue":"1","journalAbbreviation":"The Lancet Diabetes &amp; Endocrinology","language":"en","page":"42-57","source":"ScienceDirect","title":"Continuous glucose monitoring and metrics for clinical trials: an international consensus statement","title-short":"Continuous glucose monitoring and metrics for clinical trials","volume":"11","author":[{"family":"Battelino","given":"Tadej"},{"family":"Alexander","given":"Charles M"},{"family":"Amiel","given":"Stephanie A"},{"family":"Arreaza-Rubin","given":"Guillermo"},{"family":"Beck","given":"Roy W"},{"family":"Bergenstal","given":"Richard M"},{"family":"Buckingham","given":"Bruce A"},{"family":"Carroll","given":"James"},{"family":"Ceriello","given":"Antonio"},{"family":"Chow","given":"Elaine"},{"family":"Choudhary","given":"Pratik"},{"family":"Close","given":"Kelly"},{"family":"Danne","given":"Thomas"},{"family":"Dutta","given":"Sanjoy"},{"family":"Gabbay","given":"Robert"},{"family":"Garg","given":"Satish"},{"family":"Heverly","given":"Julie"},{"family":"Hirsch","given":"Irl B"},{"family":"Kader","given":"Tina"},{"family":"Kenney","given":"Julia"},{"family":"Kovatchev","given":"Boris"},{"family":"Laffel","given":"Lori"},{"family":"Maahs","given":"David"},{"family":"Mathieu","given":"Chantal"},{"family":"Mauricio","given":"Dídac"},{"family":"Nimri","given":"Revital"},{"family":"Nishimura","given":"Rimei"},{"family":"Scharf","given":"Mauro"},{"family":"Del Prato","given":"Stefano"},{"family":"Renard","given":"Eric"},{"family":"Rosenstock","given":"Julio"},{"family":"Saboo","given":"Banshi"},{"family":"Ueki","given":"Kohjiro"},{"family":"Umpierrez","given":"Guillermo E"},{"family":"Weinzimer","given":"Stuart A"},{"family":"Phillip","given":"Moshe"}],"issued":{"date-parts":[["2023",1,1]]}}}],"schema":"https://github.com/citation-style-language/schema/raw/master/csl-citation.json"} </w:instrText>
      </w:r>
      <w:r w:rsidRPr="0009119E">
        <w:fldChar w:fldCharType="separate"/>
      </w:r>
      <w:r w:rsidRPr="0009119E">
        <w:rPr>
          <w:vertAlign w:val="superscript"/>
        </w:rPr>
        <w:t>15</w:t>
      </w:r>
      <w:r w:rsidRPr="0009119E">
        <w:fldChar w:fldCharType="end"/>
      </w:r>
      <w:r w:rsidRPr="0009119E">
        <w:t xml:space="preserve">. These are calculated as number of valid glucose readings for a given range divided by total number of glucose readings multiplied by 100. </w:t>
      </w:r>
    </w:p>
    <w:p w14:paraId="52F1704B" w14:textId="77777777" w:rsidR="003562FC" w:rsidRDefault="003562FC" w:rsidP="003562FC"/>
    <w:p w14:paraId="136DD374" w14:textId="77777777" w:rsidR="003562FC" w:rsidRPr="0009119E" w:rsidRDefault="00000000" w:rsidP="003562FC">
      <w:r w:rsidRPr="0009119E">
        <w:t>From actigraphy monitor:</w:t>
      </w:r>
    </w:p>
    <w:p w14:paraId="7755B352" w14:textId="77777777" w:rsidR="003562FC" w:rsidRPr="0009119E" w:rsidRDefault="00000000" w:rsidP="003562FC">
      <w:pPr>
        <w:numPr>
          <w:ilvl w:val="0"/>
          <w:numId w:val="15"/>
        </w:numPr>
      </w:pPr>
      <w:r w:rsidRPr="0009119E">
        <w:t>Average daily step count - This will be generated by first computing the daily step counts from raw counts data, and then averaging over the duration of valid days. A valid day of step count data is a day with both 10 hours of wear</w:t>
      </w:r>
      <w:r w:rsidRPr="0009119E">
        <w:rPr>
          <w:vertAlign w:val="superscript"/>
        </w:rPr>
        <w:t>24,25</w:t>
      </w:r>
      <w:r w:rsidRPr="0009119E">
        <w:t xml:space="preserve"> and at least 128 steps</w:t>
      </w:r>
      <w:r w:rsidRPr="0009119E">
        <w:rPr>
          <w:vertAlign w:val="superscript"/>
        </w:rPr>
        <w:t>26</w:t>
      </w:r>
      <w:r w:rsidRPr="0009119E">
        <w:t>.</w:t>
      </w:r>
    </w:p>
    <w:p w14:paraId="2DCD5B1C" w14:textId="77777777" w:rsidR="003562FC" w:rsidRPr="0009119E" w:rsidRDefault="00000000" w:rsidP="003562FC">
      <w:pPr>
        <w:numPr>
          <w:ilvl w:val="0"/>
          <w:numId w:val="15"/>
        </w:numPr>
      </w:pPr>
      <w:r w:rsidRPr="0009119E">
        <w:t>Average weekly sedentary time (minutes) and 3. Average weekly moderate to vigorous physical activity (minutes)- For estimation of sedentary and moderate to vigorous physical activity, we will apply validated step count thresholds to raw step count data</w:t>
      </w:r>
      <w:r w:rsidRPr="0009119E">
        <w:rPr>
          <w:vertAlign w:val="superscript"/>
        </w:rPr>
        <w:t>38,39</w:t>
      </w:r>
      <w:r w:rsidRPr="0009119E">
        <w:t>. Given that existing thresholds for determining moderate to vigorous physical activity are developed for the general adult population, we will perform a sensitivity analysis testing different thresholds for our pregnant participants.</w:t>
      </w:r>
    </w:p>
    <w:p w14:paraId="3A2D00A3" w14:textId="77777777" w:rsidR="003562FC" w:rsidRPr="0009119E" w:rsidRDefault="00000000" w:rsidP="003562FC">
      <w:pPr>
        <w:pStyle w:val="ListParagraph"/>
        <w:numPr>
          <w:ilvl w:val="0"/>
          <w:numId w:val="14"/>
        </w:numPr>
        <w:rPr>
          <w:rFonts w:ascii="Arial" w:hAnsi="Arial" w:cs="Arial"/>
          <w:sz w:val="20"/>
          <w:szCs w:val="20"/>
        </w:rPr>
      </w:pPr>
      <w:r w:rsidRPr="0009119E">
        <w:rPr>
          <w:rFonts w:ascii="Arial" w:hAnsi="Arial" w:cs="Arial"/>
          <w:sz w:val="20"/>
          <w:szCs w:val="20"/>
        </w:rPr>
        <w:t>Average daily duration of sleep (hours)- This will be estimated by averaging the total duration of each valid sleep period over all valid sleep days, where valid sleep has been defined in the previous section.</w:t>
      </w:r>
    </w:p>
    <w:p w14:paraId="6B7E4148" w14:textId="77777777" w:rsidR="003562FC" w:rsidRPr="0009119E" w:rsidRDefault="003562FC" w:rsidP="003562FC">
      <w:pPr>
        <w:pStyle w:val="ListParagraph"/>
        <w:rPr>
          <w:rFonts w:ascii="Arial" w:hAnsi="Arial" w:cs="Arial"/>
          <w:sz w:val="20"/>
          <w:szCs w:val="20"/>
        </w:rPr>
      </w:pPr>
    </w:p>
    <w:p w14:paraId="659B5FB7" w14:textId="77777777" w:rsidR="003562FC" w:rsidRPr="0009119E" w:rsidRDefault="00000000" w:rsidP="003562FC">
      <w:pPr>
        <w:numPr>
          <w:ilvl w:val="0"/>
          <w:numId w:val="14"/>
        </w:numPr>
      </w:pPr>
      <w:r w:rsidRPr="0009119E">
        <w:t>Average systolic and diastolic blood pressure for all, daytime(09:00-21:00h), and overnight BP readings (01:00-05:59h)- We will average all SBP/DBP readings over the duration of wear to compute the overall average SBP and DBP. We will also aggregate BP readings from the daytime and overnight time periods separately to compute daytime and overnight average SBP and DBP.</w:t>
      </w:r>
    </w:p>
    <w:p w14:paraId="14B3D35D" w14:textId="77777777" w:rsidR="003562FC" w:rsidRDefault="003562FC" w:rsidP="003562FC">
      <w:pPr>
        <w:rPr>
          <w:b/>
          <w:bCs/>
        </w:rPr>
      </w:pPr>
    </w:p>
    <w:p w14:paraId="51C04F21" w14:textId="77777777" w:rsidR="003562FC" w:rsidRPr="0009119E" w:rsidRDefault="00000000" w:rsidP="003562FC">
      <w:r w:rsidRPr="0009119E">
        <w:rPr>
          <w:b/>
          <w:bCs/>
        </w:rPr>
        <w:t>Exploratory Analyses</w:t>
      </w:r>
    </w:p>
    <w:p w14:paraId="59A8959B" w14:textId="77777777" w:rsidR="003562FC" w:rsidRPr="0009119E" w:rsidRDefault="00000000" w:rsidP="003562FC">
      <w:r w:rsidRPr="0009119E">
        <w:t>Data analyses for the exploratory outcome variables are as follows:</w:t>
      </w:r>
    </w:p>
    <w:p w14:paraId="33803560" w14:textId="77777777" w:rsidR="003562FC" w:rsidRPr="0009119E" w:rsidRDefault="00000000" w:rsidP="003562FC">
      <w:pPr>
        <w:rPr>
          <w:b/>
          <w:bCs/>
        </w:rPr>
      </w:pPr>
      <w:r w:rsidRPr="0009119E">
        <w:t xml:space="preserve">1. </w:t>
      </w:r>
      <w:r w:rsidRPr="0009119E">
        <w:rPr>
          <w:u w:val="single"/>
        </w:rPr>
        <w:t>AI-guided meal detection using CGM data</w:t>
      </w:r>
      <w:r w:rsidRPr="0009119E">
        <w:t xml:space="preserve">: </w:t>
      </w:r>
      <w:r w:rsidRPr="0009119E">
        <w:rPr>
          <w:i/>
          <w:iCs/>
        </w:rPr>
        <w:t>Objective–</w:t>
      </w:r>
      <w:r w:rsidRPr="0009119E">
        <w:t>Prior work has shown that the shape of the post-meal glucose response (PMGR) is a potential early indicator for progression to type 2 diabetes (T2D) in non-pregnant adults</w:t>
      </w:r>
      <w:r w:rsidRPr="0009119E">
        <w:fldChar w:fldCharType="begin"/>
      </w:r>
      <w:r w:rsidRPr="0009119E">
        <w:instrText xml:space="preserve"> ADDIN ZOTERO_ITEM CSL_CITATION {"citationID":"YRQKA5vX","properties":{"formattedCitation":"\\super 32\\nosupersub{}","plainCitation":"32","noteIndex":0},"citationItems":[{"id":"rWXnUXcb/1p7ouVGa","uris":["http://zotero.org/users/6694618/items/GEWIMTWX"],"itemData":{"id":1167,"type":"article-journal","container-title":"eClinicalMedicine","DOI":"10.1016/j.eclinm.2021.101241","ISSN":"2589-5370","journalAbbreviation":"eClinicalMedicine","language":"English","note":"publisher: Elsevier\nPMID: 34988413","source":"www.thelancet.com","title":"The northeast glucose drift: Stratification of post-breakfast dysglycemia among predominantly Hispanic/Latino adults at-risk or with type 2 diabetes","title-short":"The northeast glucose drift","URL":"https://www.thelancet.com/journals/eclinm/article/PIIS2589-5370(21)00522-8/fulltext","volume":"43","author":[{"family":"Barua","given":"Souptik"},{"family":"Sabharwal","given":"Ashutosh"},{"family":"Glantz","given":"Namino"},{"family":"Conneely","given":"Casey"},{"family":"Larez","given":"Arianna"},{"family":"Bevier","given":"Wendy"},{"family":"Kerr","given":"David"}],"accessed":{"date-parts":[["2022",6,26]]},"issued":{"date-parts":[["2022",1,1]]}}}],"schema":"https://github.com/citation-style-language/schema/raw/master/csl-citation.json"} </w:instrText>
      </w:r>
      <w:r w:rsidRPr="0009119E">
        <w:fldChar w:fldCharType="separate"/>
      </w:r>
      <w:r w:rsidRPr="0009119E">
        <w:rPr>
          <w:vertAlign w:val="superscript"/>
        </w:rPr>
        <w:t>32</w:t>
      </w:r>
      <w:r w:rsidRPr="0009119E">
        <w:fldChar w:fldCharType="end"/>
      </w:r>
      <w:r w:rsidRPr="0009119E">
        <w:t xml:space="preserve">, and may be an early bio-behavioral marker of GDM risk in pregnant adults. We will develop an AI meal detection tool to identify CGM segments most likely to be PMGR. We will then compute PMGR summary metrics that can predict a GDM diagnosis. </w:t>
      </w:r>
      <w:r w:rsidRPr="0009119E">
        <w:rPr>
          <w:i/>
          <w:iCs/>
        </w:rPr>
        <w:t>Methods–</w:t>
      </w:r>
      <w:r w:rsidRPr="0009119E">
        <w:t>We will use adaptive wavelet optimization AI algorithms</w:t>
      </w:r>
      <w:r w:rsidRPr="0009119E">
        <w:fldChar w:fldCharType="begin"/>
      </w:r>
      <w:r w:rsidRPr="0009119E">
        <w:instrText xml:space="preserve"> ADDIN ZOTERO_ITEM CSL_CITATION {"citationID":"lXrngKch","properties":{"formattedCitation":"\\super 34,35\\nosupersub{}","plainCitation":"34,35","noteIndex":0},"citationItems":[{"id":"rWXnUXcb/xVk7sFBU","uris":["http://zotero.org/users/6694618/items/V8XXD7ER"],"itemData":{"id":1315,"type":"paper-conference","abstract":"Time series stored as feature vectors can be indexed by multidimensional index trees like R-Trees for fast retrieval. Due to the dimensionality curse problem, transformations are applied to time series to reduce the number of dimensions of the feature vectors. Different transformations like Discrete Fourier Transform (DFT) Discrete Wavelet Transform (DWT), Karhunen-Loeve (KL) transform or Singular Value Decomposition (SVD) can be applied. While the use of DFT and K-L transform or SVD have been studied on the literature, to our knowledge, there is no in-depth study on the application of DWT. In this paper we propose to use Haar Wavelet Transform for time series indexing. The major contributions are: (1) we show that Euclidean distance is preserved in the Haar transformed domain and no false dismissal will occur, (2) we show that Haar transform can outperform DFT through experiments, (3) a new similarity model is suggested to accommodate vertical shift of time series, and (4) a two-phase method is proposed for efficient n-nearest neighbor query in time series databases.","container-title":"Proceedings 15th International Conference on Data Engineering (Cat. No.99CB36337)","DOI":"10.1109/ICDE.1999.754915","event-title":"Proceedings 15th International Conference on Data Engineering (Cat. No.99CB36337)","note":"ISSN: 1063-6382","page":"126-133","source":"IEEE Xplore","title":"Efficient time series matching by wavelets","author":[{"family":"Chan","given":"Kin-Pong"},{"family":"Fu","given":"Ada Wai-Chee"}],"issued":{"date-parts":[["1999",3]]}}},{"id":"rWXnUXcb/yDKpyQzK","uris":["http://zotero.org/users/6694618/items/DKARNHEX"],"itemData":{"id":1312,"type":"article-journal","abstract":"Many approaches to time series classification rely on machine learning methods. However, there is growing interest in going beyond black box prediction models to understand discriminatory features of the time series and their associations with outcomes. One promising method is time-series shapelets (TSS), which identifies maximally discriminative subsequences of time series. For example, in environmental health applications TSS could be used to identify short-term patterns in exposure time series (shapelets) associated with adverse health outcomes. Identification of candidate shapelets in TSS is computationally intensive. The original TSS algorithm used exhaustive search. Subsequent algorithms introduced efficiencies by trimming/aggregating the set of candidates or training candidates from initialized values, but these approaches have limitations. In this paper, we introduce Wavelet-TSS (W-TSS) a novel intelligent method for identifying candidate shapelets in TSS using wavelet transformation discovery. We tested W-TSS on two datasets: (1) a synthetic example used in previous TSS studies and (2) a panel study relating exposures from residential air pollution sensors to symptoms in participants with asthma. Compared to previous TSS algorithms, W-TSS was more computationally efficient, more accurate, and was able to discover more discriminative shapelets. W-TSS does not require pre-specification of shapelet length.","container-title":"Sensors (Basel, Switzerland)","DOI":"10.3390/s21175801","ISSN":"1424-8220","issue":"17","journalAbbreviation":"Sensors (Basel)","note":"PMID: 34502692\nPMCID: PMC8434226","page":"5801","source":"PubMed Central","title":"W-TSS: A Wavelet-Based Algorithm for Discovering Time Series Shapelets","title-short":"W-TSS","volume":"21","author":[{"family":"Li","given":"Kenan"},{"family":"Deng","given":"Huiyu"},{"family":"Morrison","given":"John"},{"family":"Habre","given":"Rima"},{"family":"Franklin","given":"Meredith"},{"family":"Chiang","given":"Yao-Yi"},{"family":"Sward","given":"Katherine"},{"family":"Gilliland","given":"Frank D."},{"family":"Ambite","given":"José Luis"},{"family":"Eckel","given":"Sandrah P."}],"issued":{"date-parts":[["2021",8,28]]}}}],"schema":"https://github.com/citation-style-language/schema/raw/master/csl-citation.json"} </w:instrText>
      </w:r>
      <w:r w:rsidRPr="0009119E">
        <w:fldChar w:fldCharType="separate"/>
      </w:r>
      <w:r w:rsidRPr="0009119E">
        <w:rPr>
          <w:vertAlign w:val="superscript"/>
        </w:rPr>
        <w:t>34,35</w:t>
      </w:r>
      <w:r w:rsidRPr="0009119E">
        <w:fldChar w:fldCharType="end"/>
      </w:r>
      <w:r w:rsidRPr="0009119E">
        <w:t xml:space="preserve"> to match a predefined meal response CGM template (“mother meal wavelet”)</w:t>
      </w:r>
      <w:r w:rsidRPr="0009119E">
        <w:fldChar w:fldCharType="begin"/>
      </w:r>
      <w:r w:rsidRPr="0009119E">
        <w:instrText xml:space="preserve"> ADDIN ZOTERO_ITEM CSL_CITATION {"citationID":"7ptmv7Ol","properties":{"formattedCitation":"\\super 32\\nosupersub{}","plainCitation":"32","noteIndex":0},"citationItems":[{"id":"rWXnUXcb/1p7ouVGa","uris":["http://zotero.org/users/6694618/items/GEWIMTWX"],"itemData":{"id":1167,"type":"article-journal","container-title":"eClinicalMedicine","DOI":"10.1016/j.eclinm.2021.101241","ISSN":"2589-5370","journalAbbreviation":"eClinicalMedicine","language":"English","note":"publisher: Elsevier\nPMID: 34988413","source":"www.thelancet.com","title":"The northeast glucose drift: Stratification of post-breakfast dysglycemia among predominantly Hispanic/Latino adults at-risk or with type 2 diabetes","title-short":"The northeast glucose drift","URL":"https://www.thelancet.com/journals/eclinm/article/PIIS2589-5370(21)00522-8/fulltext","volume":"43","author":[{"family":"Barua","given":"Souptik"},{"family":"Sabharwal","given":"Ashutosh"},{"family":"Glantz","given":"Namino"},{"family":"Conneely","given":"Casey"},{"family":"Larez","given":"Arianna"},{"family":"Bevier","given":"Wendy"},{"family":"Kerr","given":"David"}],"accessed":{"date-parts":[["2022",6,26]]},"issued":{"date-parts":[["2022",1,1]]}}}],"schema":"https://github.com/citation-style-language/schema/raw/master/csl-citation.json"} </w:instrText>
      </w:r>
      <w:r w:rsidRPr="0009119E">
        <w:fldChar w:fldCharType="separate"/>
      </w:r>
      <w:r w:rsidRPr="0009119E">
        <w:rPr>
          <w:vertAlign w:val="superscript"/>
        </w:rPr>
        <w:t>32</w:t>
      </w:r>
      <w:r w:rsidRPr="0009119E">
        <w:fldChar w:fldCharType="end"/>
      </w:r>
      <w:r w:rsidRPr="0009119E">
        <w:t xml:space="preserve"> within a 24-hr CGM profile to identify CGM segments most likely to be a PMGR.</w:t>
      </w:r>
      <w:r w:rsidRPr="0009119E">
        <w:rPr>
          <w:bCs/>
        </w:rPr>
        <w:t xml:space="preserve"> </w:t>
      </w:r>
      <w:r w:rsidRPr="0009119E">
        <w:rPr>
          <w:bCs/>
          <w:i/>
          <w:iCs/>
        </w:rPr>
        <w:t>Analysis–</w:t>
      </w:r>
      <w:r w:rsidRPr="0009119E">
        <w:rPr>
          <w:bCs/>
        </w:rPr>
        <w:t xml:space="preserve">We will compute important shape parameters for the detected PMGR including glucose rise, time to glucose peak, and incremental area under the PMGR curve. </w:t>
      </w:r>
      <w:r w:rsidRPr="0009119E">
        <w:rPr>
          <w:bCs/>
          <w:i/>
          <w:iCs/>
        </w:rPr>
        <w:t>Outcome–</w:t>
      </w:r>
      <w:r w:rsidRPr="0009119E">
        <w:t>The primary outcome will be the time difference (T</w:t>
      </w:r>
      <w:r w:rsidRPr="0009119E">
        <w:rPr>
          <w:vertAlign w:val="subscript"/>
        </w:rPr>
        <w:t>diff</w:t>
      </w:r>
      <w:r w:rsidRPr="0009119E">
        <w:t>) between the true meal start time (from user food logs) and the AI-detected meal start time. The secondary outcome will be the root mean square error (RMSE) of PMGR shape parameters between true and detected meal responses.</w:t>
      </w:r>
      <w:r w:rsidRPr="0009119E">
        <w:rPr>
          <w:b/>
          <w:bCs/>
        </w:rPr>
        <w:tab/>
      </w:r>
    </w:p>
    <w:p w14:paraId="588C6416" w14:textId="77777777" w:rsidR="003562FC" w:rsidRDefault="003562FC" w:rsidP="003562FC"/>
    <w:p w14:paraId="1CE89362" w14:textId="77777777" w:rsidR="003562FC" w:rsidRPr="0009119E" w:rsidRDefault="00000000" w:rsidP="003562FC">
      <w:pPr>
        <w:rPr>
          <w:bCs/>
        </w:rPr>
      </w:pPr>
      <w:r w:rsidRPr="0009119E">
        <w:t xml:space="preserve">2. </w:t>
      </w:r>
      <w:r w:rsidRPr="0009119E">
        <w:rPr>
          <w:u w:val="single"/>
        </w:rPr>
        <w:t>AI-guided physical activity classification using actigraphy data:</w:t>
      </w:r>
      <w:r w:rsidRPr="0009119E">
        <w:t xml:space="preserve"> </w:t>
      </w:r>
      <w:r w:rsidRPr="0009119E">
        <w:rPr>
          <w:i/>
          <w:iCs/>
        </w:rPr>
        <w:t xml:space="preserve">Objective– </w:t>
      </w:r>
      <w:r w:rsidRPr="0009119E">
        <w:t>Prior research has shown the protective effect of PA during pregnancy on the risk of new-onset HDP and GDM</w:t>
      </w:r>
      <w:r w:rsidRPr="0009119E">
        <w:fldChar w:fldCharType="begin"/>
      </w:r>
      <w:r w:rsidRPr="0009119E">
        <w:instrText xml:space="preserve"> ADDIN ZOTERO_ITEM CSL_CITATION {"citationID":"7O81uMCa","properties":{"formattedCitation":"\\super 36\\uc0\\u8211{}38\\nosupersub{}","plainCitation":"36–38","noteIndex":0},"citationItems":[{"id":"rWXnUXcb/ZdqbWnDo","uris":["http://zotero.org/users/6694618/items/V2BHAFTP"],"itemData":{"id":2038,"type":"article-journal","abstract":"Physical activity is advocated for a range of benefits to the uncomplicated pregnancy. We investigated associations of mid-pregnancy physical activity with maternal and neonatal health in white British and Pakistani-origin women from a deprived urban setting.","container-title":"Sports Medicine","DOI":"10.1007/s40279-019-01193-8","ISSN":"1179-2035","issue":"3","journalAbbreviation":"Sports Med","language":"en","page":"615-628","source":"Springer Link","title":"Associations of Pregnancy Physical Activity with Maternal Cardiometabolic Health, Neonatal Delivery Outcomes and Body Composition in a Biethnic Cohort of 7305 Mother–Child Pairs: The Born in Bradford Study","title-short":"Associations of Pregnancy Physical Activity with Maternal Cardiometabolic Health, Neonatal Delivery Outcomes and Body Composition in a Biethnic Cohort of 7305 Mother–Child Pairs","volume":"50","author":[{"family":"Collings","given":"Paul J."},{"family":"Farrar","given":"Diane"},{"family":"Gibson","given":"Joanna"},{"family":"West","given":"Jane"},{"family":"Barber","given":"Sally E."},{"family":"Wright","given":"John"}],"issued":{"date-parts":[["2020",3,1]]}}},{"id":"rWXnUXcb/3fRiC2HT","uris":["http://zotero.org/users/6694618/items/B9EUESLP"],"itemData":{"id":2036,"type":"article-journal","abstract":"Objective Gestational diabetes mellitus (GDM), gestational hypertension (GH) and pre-eclampsia (PE) are associated with short and long-term health issues for mother and child; prevention of these complications is critically important. This study aimed to perform a systematic review and meta-analysis of the relationships between prenatal exercise and GDM, GH and PE.\nDesign Systematic review with random effects meta-analysis and meta-regression.\nData sources Online databases were searched up to 6 January 2017.\nStudy eligibility criteria Studies of all designs were included (except case studies) if published in English, Spanish or French, and contained information on the Population (pregnant women without contraindication to exercise), Intervention (subjective or objective measures of frequency, intensity, duration, volume or type of exercise, alone [“exercise-only”] or in combination with other intervention components [e.g., dietary; “exercise + co-intervention”]), Comparator (no exercise or different frequency, intensity, duration, volume and type of exercise) and Outcomes (GDM, GH, PE).\nResults A total of 106 studies (n=273 182) were included. ‘Moderate’ to ‘high’-quality evidence from randomised controlled trials revealed that exercise-only interventions, but not exercise+cointerventions, reduced odds of GDM (n=6934; OR 0.62, 95% CI 0.52 to 0.75), GH (n=5316; OR 0.61, 95% CI 0.43 to 0.85) and PE (n=3322; OR 0.59, 95% CI 0.37 to 0.9) compared with no exercise. To achieve at least a 25% reduction in the odds of developing GDM, PE and GH, pregnant women need to accumulate at least 600 MET-min/week of moderate-intensity exercise (eg, 140 min of brisk walking, water aerobics, stationary cycling or resistance training).\nSummary/conclusions In conclusion, exercise-only interventions were effective at lowering the odds of developing GDM, GH and PE.","container-title":"British Journal of Sports Medicine","DOI":"10.1136/bjsports-2018-099355","ISSN":"0306-3674, 1473-0480","issue":"21","journalAbbreviation":"Br J Sports Med","language":"en","license":"© Author(s) (or their employer(s)) 2018. No commercial re-use. See rights and permissions. Published by BMJ.","note":"publisher: BMJ Publishing Group Ltd and British Association of Sport and Exercise Medicine\nsection: Review\nPMID: 30337463","page":"1367-1375","source":"bjsm.bmj.com","title":"Prenatal exercise for the prevention of gestational diabetes mellitus and hypertensive disorders of pregnancy: a systematic review and meta-analysis","title-short":"Prenatal exercise for the prevention of gestational diabetes mellitus and hypertensive disorders of pregnancy","volume":"52","author":[{"family":"Davenport","given":"Margie H."},{"family":"Ruchat","given":"Stephanie-May"},{"family":"Poitras","given":"Veronica J."},{"family":"Garcia","given":"Alejandra Jaramillo"},{"family":"Gray","given":"Casey E."},{"family":"Barrowman","given":"Nick"},{"family":"Skow","given":"Rachel J."},{"family":"Meah","given":"Victoria L."},{"family":"Riske","given":"Laurel"},{"family":"Sobierajski","given":"Frances"},{"family":"James","given":"Marina"},{"family":"Kathol","given":"Amariah J."},{"family":"Nuspl","given":"Megan"},{"family":"Marchand","given":"Andree-Anne"},{"family":"Nagpal","given":"Taniya S."},{"family":"Slater","given":"Linda G."},{"family":"Weeks","given":"Ashley"},{"family":"Adamo","given":"Kristi B."},{"family":"Davies","given":"Gregory A."},{"family":"Barakat","given":"Ruben"},{"family":"Mottola","given":"Michelle F."}],"issued":{"date-parts":[["2018",11,1]]}}},{"id":"rWXnUXcb/VXYjsuCs","uris":["http://zotero.org/users/6694618/items/VBJWUP5P"],"itemData":{"id":2039,"type":"article-journal","abstract":"Effect of physical exercise on pregnant women currently has become a hot topic in prenatal health care. In this study, A meta-analysis was conducted on account of Randomized Controlled Trial (RCT). It focused on evaluating the effect of physical exercise intervention on blood pressure so that could provide certain evidence for health care during pregnancy.","container-title":"BMC Public Health","DOI":"10.1186/s12889-022-14074-z","ISSN":"1471-2458","issue":"1","journalAbbreviation":"BMC Public Health","page":"1733","source":"BioMed Central","title":"Effects of physical exercise on blood pressure during pregnancy","volume":"22","author":[{"family":"Zhu","given":"Zhu"},{"family":"Xie","given":"Hang"},{"family":"Liu","given":"Shiping"},{"family":"Yang","given":"Ruizhe"},{"family":"Yu","given":"Juan"},{"family":"Yan","given":"Yiping"},{"family":"Wang","given":"Xu"},{"family":"Zhang","given":"Zhihua"},{"family":"Yan","given":"Wu"}],"issued":{"date-parts":[["2022",9,12]]}}}],"schema":"https://github.com/citation-style-language/schema/raw/master/csl-citation.json"} </w:instrText>
      </w:r>
      <w:r w:rsidRPr="0009119E">
        <w:fldChar w:fldCharType="separate"/>
      </w:r>
      <w:r w:rsidRPr="0009119E">
        <w:rPr>
          <w:vertAlign w:val="superscript"/>
        </w:rPr>
        <w:t>36–38</w:t>
      </w:r>
      <w:r w:rsidRPr="0009119E">
        <w:fldChar w:fldCharType="end"/>
      </w:r>
      <w:r w:rsidRPr="0009119E">
        <w:t xml:space="preserve">. We will develop AI models to detect </w:t>
      </w:r>
      <w:r w:rsidRPr="0009119E">
        <w:rPr>
          <w:u w:val="single"/>
        </w:rPr>
        <w:t>four types of PA</w:t>
      </w:r>
      <w:r w:rsidRPr="0009119E">
        <w:t xml:space="preserve">: sedentary, light, moderate and vigorous PA, using raw step counts and energy expenditure (stored as metabolic equivalent or METs). We will then develop summary accelerometry metrics from each detected PA segment to be evaluated as early HDP and GDM predictors in Aim 2. </w:t>
      </w:r>
      <w:r w:rsidRPr="0009119E">
        <w:rPr>
          <w:i/>
          <w:iCs/>
        </w:rPr>
        <w:t xml:space="preserve">Methods– </w:t>
      </w:r>
      <w:r w:rsidRPr="0009119E">
        <w:t>We will deploy a Hidden Semi-Markov Model (HSMM) thresholding analysis</w:t>
      </w:r>
      <w:r w:rsidRPr="0009119E">
        <w:fldChar w:fldCharType="begin"/>
      </w:r>
      <w:r w:rsidRPr="0009119E">
        <w:instrText xml:space="preserve"> ADDIN ZOTERO_ITEM CSL_CITATION {"citationID":"90NkyHvr","properties":{"formattedCitation":"\\super 39\\nosupersub{}","plainCitation":"39","noteIndex":0},"citationItems":[{"id":"rWXnUXcb/JExNuKys","uris":["http://zotero.org/users/6694618/items/XTX8YKVI"],"itemData":{"id":1568,"type":"article-journal","abstract":"Purpose Accelerometers are increasingly used to obtain valuable descriptors of physical activity for health research. The cut-points approach to segment accelerometer data is widely used in physical activity research but requires resource expensive calibration studies and does not make it easy to explore the information that can be gained for a variety of raw data metrics. To address these limitations, we present a data-driven approach for segmenting and clustering the accelerometer data using unsupervised machine learning. Methods The data used came from five hundred fourteen-year-old participants from the Millennium cohort study who wore an accelerometer (GENEActiv) on their wrist on one weekday and one weekend day. A Hidden Semi-Markov Model (HSMM), configured to identify a maximum of ten behavioral states from five second averaged acceleration with and without addition of x, y, and z-angles, was used for segmenting and clustering of the data. A cut-points approach was used as comparison. Results Time spent in behavioral states with or without angle metrics constituted eight and five principal components to reach 95% explained variance, respectively; in comparison four components were identified with the cut-points approach. In the HSMM with acceleration and angle as input, the distributions for acceleration in the states showed similar groupings as the cut-points categories, while more variety was seen in the distribution of angles. Conclusion Our unsupervised classification approach learns a construct of human behavior based on the data it observes, without the need for resource expensive calibration studies, has the ability to combine multiple data metrics, and offers a higher dimensional description of physical behavior. States are interpretable from the distributions of observations and by their duration.","container-title":"PLOS ONE","DOI":"10.1371/journal.pone.0208692","ISSN":"1932-6203","issue":"1","journalAbbreviation":"PLOS ONE","language":"en","note":"publisher: Public Library of Science","page":"e0208692","source":"PLoS Journals","title":"Segmenting accelerometer data from daily life with unsupervised machine learning","volume":"14","author":[{"family":"Kuppevelt","given":"Dafne","dropping-particle":"van"},{"family":"Heywood","given":"Joe"},{"family":"Hamer","given":"Mark"},{"family":"Sabia","given":"Séverine"},{"family":"Fitzsimons","given":"Emla"},{"family":"Hees","given":"Vincent","dropping-particle":"van"}],"issued":{"date-parts":[["2019",1,9]]}}}],"schema":"https://github.com/citation-style-language/schema/raw/master/csl-citation.json"} </w:instrText>
      </w:r>
      <w:r w:rsidRPr="0009119E">
        <w:fldChar w:fldCharType="separate"/>
      </w:r>
      <w:r w:rsidRPr="0009119E">
        <w:rPr>
          <w:vertAlign w:val="superscript"/>
        </w:rPr>
        <w:t>39</w:t>
      </w:r>
      <w:r w:rsidRPr="0009119E">
        <w:fldChar w:fldCharType="end"/>
      </w:r>
      <w:r w:rsidRPr="0009119E">
        <w:t xml:space="preserve"> on minute-by-minute step count and METs data for this task. </w:t>
      </w:r>
      <w:r w:rsidRPr="0009119E">
        <w:rPr>
          <w:bCs/>
          <w:i/>
          <w:iCs/>
        </w:rPr>
        <w:t>Analysis</w:t>
      </w:r>
      <w:r w:rsidRPr="0009119E">
        <w:rPr>
          <w:i/>
          <w:iCs/>
        </w:rPr>
        <w:t>–</w:t>
      </w:r>
      <w:r w:rsidRPr="0009119E">
        <w:rPr>
          <w:bCs/>
          <w:i/>
          <w:iCs/>
        </w:rPr>
        <w:t xml:space="preserve"> </w:t>
      </w:r>
      <w:r w:rsidRPr="0009119E">
        <w:rPr>
          <w:bCs/>
        </w:rPr>
        <w:t>For each detected PA event, we will compute</w:t>
      </w:r>
      <w:r w:rsidRPr="0009119E">
        <w:t xml:space="preserve"> the duration (in minutes), intensity (total METs) and timing (morning, afternoon, or evening)</w:t>
      </w:r>
      <w:r w:rsidRPr="0009119E">
        <w:fldChar w:fldCharType="begin"/>
      </w:r>
      <w:r w:rsidRPr="0009119E">
        <w:instrText xml:space="preserve"> ADDIN ZOTERO_ITEM CSL_CITATION {"citationID":"D2LV2OgB","properties":{"formattedCitation":"\\super 40\\nosupersub{}","plainCitation":"40","noteIndex":0},"citationItems":[{"id":"rWXnUXcb/ZNKjOxyR","uris":["http://zotero.org/users/6694618/items/EFYPH7JB"],"itemData":{"id":1556,"type":"article-journal","abstract":"There is a growing interest in the role of timing of daily behaviors in improving health. However, little is known about the optimal timing of physical activity to maximize health benefits. We perform a cohort study of 92,139 UK Biobank participants with valid accelerometer data and all-cause and cause-specific mortality outcomes, comprising over 7 years of median follow-up (638,825 person-years). Moderate-to-vigorous intensity physical activity (MVPA) at any time of day is associated with lower risks for all-cause, cardiovascular disease, and cancer mortality. In addition, compared with morning group (&gt;50% of daily MVPA during 05:00-11:00), midday-afternoon (11:00-17:00) and mixed MVPA timing groups, but not evening group (17:00-24:00), have lower risks of all-cause and cardiovascular disease mortality. These protective associations are more pronounced among the elderly, males, less physically active participants, or those with preexisting cardiovascular diseases. Here, we show that MVPA timing may have the potential to improve public health.","container-title":"Nature Communications","DOI":"10.1038/s41467-023-36546-5","ISSN":"2041-1723","issue":"1","journalAbbreviation":"Nat Commun","language":"en","license":"2023 The Author(s)","note":"number: 1\npublisher: Nature Publishing Group","page":"930","source":"www.nature.com","title":"Associations of timing of physical activity with all-cause and cause-specific mortality in a prospective cohort study","volume":"14","author":[{"family":"Feng","given":"Hongliang"},{"family":"Yang","given":"Lulu"},{"family":"Liang","given":"Yannis Yan"},{"family":"Ai","given":"Sizhi"},{"family":"Liu","given":"Yaping"},{"family":"Liu","given":"Yue"},{"family":"Jin","given":"Xinyi"},{"family":"Lei","given":"Binbin"},{"family":"Wang","given":"Jing"},{"family":"Zheng","given":"Nana"},{"family":"Chen","given":"Xinru"},{"family":"Chan","given":"Joey W. Y."},{"family":"Sum","given":"Raymond Kim Wai"},{"family":"Chan","given":"Ngan Yin"},{"family":"Tan","given":"Xiao"},{"family":"Benedict","given":"Christian"},{"family":"Wing","given":"Yun Kwok"},{"family":"Zhang","given":"Jihui"}],"issued":{"date-parts":[["2023",2,18]]}}}],"schema":"https://github.com/citation-style-language/schema/raw/master/csl-citation.json"} </w:instrText>
      </w:r>
      <w:r w:rsidRPr="0009119E">
        <w:fldChar w:fldCharType="separate"/>
      </w:r>
      <w:r w:rsidRPr="0009119E">
        <w:rPr>
          <w:vertAlign w:val="superscript"/>
        </w:rPr>
        <w:t>40</w:t>
      </w:r>
      <w:r w:rsidRPr="0009119E">
        <w:fldChar w:fldCharType="end"/>
      </w:r>
      <w:r w:rsidRPr="0009119E">
        <w:rPr>
          <w:bCs/>
        </w:rPr>
        <w:t xml:space="preserve">. </w:t>
      </w:r>
      <w:r w:rsidRPr="0009119E">
        <w:rPr>
          <w:bCs/>
          <w:i/>
          <w:iCs/>
        </w:rPr>
        <w:t>Outcome</w:t>
      </w:r>
      <w:r w:rsidRPr="0009119E">
        <w:rPr>
          <w:i/>
          <w:iCs/>
        </w:rPr>
        <w:t>–</w:t>
      </w:r>
      <w:r w:rsidRPr="0009119E">
        <w:rPr>
          <w:bCs/>
          <w:i/>
          <w:iCs/>
        </w:rPr>
        <w:t xml:space="preserve"> </w:t>
      </w:r>
      <w:r w:rsidRPr="0009119E">
        <w:t>For each PA type, the primary outcome would be the average T</w:t>
      </w:r>
      <w:r w:rsidRPr="0009119E">
        <w:rPr>
          <w:vertAlign w:val="subscript"/>
        </w:rPr>
        <w:t>diff</w:t>
      </w:r>
      <w:r w:rsidRPr="0009119E">
        <w:t xml:space="preserve"> between the AI-detected PA period and device software-generated PA period (CenterPoint app), while the secondary outcome would be the RMSE of PA metrics against device software-generated PA metrics.</w:t>
      </w:r>
      <w:r w:rsidRPr="0009119E">
        <w:rPr>
          <w:bCs/>
        </w:rPr>
        <w:tab/>
      </w:r>
    </w:p>
    <w:p w14:paraId="216AE5F4" w14:textId="77777777" w:rsidR="003562FC" w:rsidRDefault="003562FC" w:rsidP="003562FC"/>
    <w:p w14:paraId="1D0482D5" w14:textId="77777777" w:rsidR="003562FC" w:rsidRPr="0009119E" w:rsidRDefault="00000000" w:rsidP="003562FC">
      <w:r w:rsidRPr="0009119E">
        <w:t xml:space="preserve">3. </w:t>
      </w:r>
      <w:r w:rsidRPr="0009119E">
        <w:rPr>
          <w:u w:val="single"/>
        </w:rPr>
        <w:t>AI-guided sleep staging using actigraphy data</w:t>
      </w:r>
      <w:r w:rsidRPr="0009119E">
        <w:t xml:space="preserve">: </w:t>
      </w:r>
      <w:r w:rsidRPr="0009119E">
        <w:rPr>
          <w:bCs/>
          <w:i/>
          <w:iCs/>
        </w:rPr>
        <w:t>Objective</w:t>
      </w:r>
      <w:r w:rsidRPr="0009119E">
        <w:rPr>
          <w:i/>
          <w:iCs/>
        </w:rPr>
        <w:t>–</w:t>
      </w:r>
      <w:r w:rsidRPr="0009119E">
        <w:rPr>
          <w:bCs/>
        </w:rPr>
        <w:t>Recent studies have shown a link between poor sleep and risk of GDM and hypertension in pregnancy</w:t>
      </w:r>
      <w:r w:rsidRPr="0009119E">
        <w:rPr>
          <w:bCs/>
        </w:rPr>
        <w:fldChar w:fldCharType="begin"/>
      </w:r>
      <w:r w:rsidRPr="0009119E">
        <w:rPr>
          <w:bCs/>
        </w:rPr>
        <w:instrText xml:space="preserve"> ADDIN ZOTERO_ITEM CSL_CITATION {"citationID":"vbRr33ed","properties":{"formattedCitation":"\\super 41\\uc0\\u8211{}43\\nosupersub{}","plainCitation":"41–43","noteIndex":0},"citationItems":[{"id":"rWXnUXcb/Qo9gTxx5","uris":["http://zotero.org/users/6694618/items/8UXLATJI"],"itemData":{"id":2047,"type":"article-journal","abstract":"Sleep disorders are highly prevalent during pregnancy and significantly affect women’s health and quality of life. Gestational diabetes mellitus (GDM) is one of the most common metabolic complications during pregnancy and constitutes a significant risk factor for both mother and fetus in the short and the long term. While the association between sleep disorders and type 2 diabetes mellitus (T2DM) is indisputable, it is not clear whether there is a link between sleep disorders and GDM. The aim of this article was to investigate the association between sleep disorders and GDM and whether the treatment of sleep disorders may prevent GDM development. Insomnia, obstructive sleep apnea (OSA), restless legs syndrome (RLS), and narcolepsy were the most common sleep disorders identified during pregnancy and were related to poor sleep quality and short or prolonged sleep duration. They were all associated with an increased risk of GDM. The ideal sleep duration for pregnant women was determined at 8–9 h daily. In conclusion, sleep disorders constitute a risk factor for GDM. It is imperative that prospective studies be conducted to evaluate the effect of the early management of sleep disorders on GDM manifestation and control. Healthcare providers should highlight the importance of sufficient sleep to reinforce pregnancy outcomes.","container-title":"Endocrine","DOI":"10.1007/s12020-023-03537-x","ISSN":"1559-0100","journalAbbreviation":"Endocrine","language":"en","source":"Springer Link","title":"Sleep disorders during pregnancy: an underestimated risk factor for gestational diabetes mellitus","title-short":"Sleep disorders during pregnancy","URL":"https://doi.org/10.1007/s12020-023-03537-x","author":[{"family":"Eleftheriou","given":"Danai"},{"family":"Athanasiadou","given":"Kleoniki I."},{"family":"Sifnaios","given":"Emmanouil"},{"family":"Vagiakis","given":"Emmanouil"},{"family":"Katsaounou","given":"Paraskevi"},{"family":"Psaltopoulou","given":"Theodora"},{"family":"Paschou","given":"Stavroula A."},{"family":"Trakada","given":"Georgia"}],"accessed":{"date-parts":[["2023",12,27]]},"issued":{"date-parts":[["2023",9,23]]}}},{"id":"rWXnUXcb/eqzjPyak","uris":["http://zotero.org/users/6694618/items/YP278JWC"],"itemData":{"id":2043,"type":"article-journal","abstract":"Sleep disturbances in the general population are associated with elevated blood pressure. This may be due to several mechanisms, including sympathetic activation and hypothalamic-pituitary-adrenal (HPA) axis disturbance. Elevated blood pressure in pregnancy can have devastating effects on both maternal and fetal health and is associated with increased risk for preeclampsia and poor delivery outcomes. Preliminary evidence suggests that mechanisms linking sleep and blood pressure in the general population may also hold in the pregnant population. However, the effects of disturbed sleep on physiologic mechanisms that may directly influence blood pressure in pregnancy have not been well studied. The role that sleep disturbance plays in gestational blood pressure elevation and its subsequent consequences warrant further investigation. This review evaluates the current literature on sleep disturbance and elevated blood pressure in pregnancy and proposes possible treatment interventions.\n\nCITATION:\n\nHaney A; Buysse DJ; Okun M. Sleep and pregnancy-induced hypertension: a possible target for intervention? J Clin Sleep Med 2013;9(12):1349-1356.","container-title":"Journal of Clinical Sleep Medicine","DOI":"10.5664/jcsm.3290","issue":"12","note":"publisher: American Academy of Sleep Medicine","page":"1349-1356","source":"jcsm.aasm.org (Atypon)","title":"Sleep and Pregnancy-Induced Hypertension: A Possible Target for Intervention?","title-short":"Sleep and Pregnancy-Induced Hypertension","volume":"09","author":[{"family":"Haney","given":"Alyssa"},{"family":"Buysse","given":"Daniel J."},{"family":"Okun","given":"Michele"}]}},{"id":"rWXnUXcb/bfA3RBLe","uris":["http://zotero.org/users/6694618/items/5HCXIM5F"],"itemData":{"id":2045,"type":"article-journal","abstract":"Maternal poor sleep quality may increase blood pressure during pregnancy, but sound evidence is still limited and inconsistent. To evaluate whether sleep disturbances in early gestation are risk factors for the development of hypertensive disorders of pregnancy, we conducted the Early Life Plan project from June 2016 to December 2019. Maternal sleep patterns were assessed at 12–16 weeks of gestation by using the Pittsburgh Sleep Quality Index questionnaire. For gestational hypertension and preeclampsia, we estimated adjusted odds ratio (OR) and 95% confidence intervals (CI) using multinomial logistic regression models adjusting for potential confounders. Among 5532 eligible women, we observed that maternal blood pressure in early gestation was significantly higher in women with low sleep efficiency, long sleep duration, and snoring. Compared with non-snorers, snoring in early gestation was independently associated with preeclampsia (OR= 1.72, 95% CI: 1.09, 2.73 for snoring once or twice per week; OR= 2.06, 95% CI: 1.01, 4.31 for snoring three times or more per week), particularly for term preeclampsia (OR= 1.79, 95% CI: 1.08, 2.95 and 2.26, 95% CI: 1.03, 4.95, respectively). Results suggest that snoring in early gestation may be a significant risk factor for preeclampsia, with a dose-response pattern.","container-title":"American Journal of Epidemiology","DOI":"10.1093/aje/kwad223","ISSN":"0002-9262","journalAbbreviation":"American Journal of Epidemiology","page":"kwad223","source":"Silverchair","title":"Sleep Disturbances in Early Gestation and the Risks of Hypertensive Disorders of Pregnancy: a prospective cohort study","title-short":"Sleep Disturbances in Early Gestation and the Risks of Hypertensive Disorders of Pregnancy","author":[{"family":"Zhu","given":"Jing"},{"family":"Zheng","given":"Tao"},{"family":"Jin","given":"Hong"},{"family":"Wei","given":"Mengdan"},{"family":"Yu","given":"Jun"},{"family":"Ni","given":"Jiaying"},{"family":"Sun","given":"Kun"},{"family":"Zhang","given":"Jun"},{"family":"Early Life Plan project","given":"for","dropping-particle":"the"}],"issued":{"date-parts":[["2023",11,15]]}}}],"schema":"https://github.com/citation-style-language/schema/raw/master/csl-citation.json"} </w:instrText>
      </w:r>
      <w:r w:rsidRPr="0009119E">
        <w:rPr>
          <w:bCs/>
        </w:rPr>
        <w:fldChar w:fldCharType="separate"/>
      </w:r>
      <w:r w:rsidRPr="0009119E">
        <w:rPr>
          <w:vertAlign w:val="superscript"/>
        </w:rPr>
        <w:t>41–43</w:t>
      </w:r>
      <w:r w:rsidRPr="0009119E">
        <w:fldChar w:fldCharType="end"/>
      </w:r>
      <w:r w:rsidRPr="0009119E">
        <w:rPr>
          <w:bCs/>
        </w:rPr>
        <w:t xml:space="preserve">. </w:t>
      </w:r>
      <w:r w:rsidRPr="0009119E">
        <w:t xml:space="preserve">We will develop AI models to detect sleep periods from raw accelerometry data. </w:t>
      </w:r>
      <w:r w:rsidRPr="0009119E">
        <w:rPr>
          <w:bCs/>
          <w:i/>
          <w:iCs/>
        </w:rPr>
        <w:t>Methods</w:t>
      </w:r>
      <w:r w:rsidRPr="0009119E">
        <w:rPr>
          <w:i/>
          <w:iCs/>
        </w:rPr>
        <w:t>–</w:t>
      </w:r>
      <w:r w:rsidRPr="0009119E">
        <w:t xml:space="preserve">We will use a modified version of the HSMM model for detecting sleep periods using </w:t>
      </w:r>
      <w:r w:rsidRPr="0009119E">
        <w:lastRenderedPageBreak/>
        <w:t>step count data.</w:t>
      </w:r>
      <w:r w:rsidRPr="0009119E">
        <w:rPr>
          <w:bCs/>
          <w:i/>
          <w:iCs/>
        </w:rPr>
        <w:t xml:space="preserve"> Analysis</w:t>
      </w:r>
      <w:r w:rsidRPr="0009119E">
        <w:rPr>
          <w:i/>
          <w:iCs/>
        </w:rPr>
        <w:t>–</w:t>
      </w:r>
      <w:r w:rsidRPr="0009119E">
        <w:t>We will use a well-cited sleep stage classification model</w:t>
      </w:r>
      <w:r w:rsidRPr="0009119E">
        <w:fldChar w:fldCharType="begin"/>
      </w:r>
      <w:r w:rsidRPr="0009119E">
        <w:instrText xml:space="preserve"> ADDIN ZOTERO_ITEM CSL_CITATION {"citationID":"xKIAJiWG","properties":{"formattedCitation":"\\super 44\\nosupersub{}","plainCitation":"44","noteIndex":0},"citationItems":[{"id":"rWXnUXcb/im9ntLH8","uris":["http://zotero.org/users/6694618/items/LS4PZY3I"],"itemData":{"id":1579,"type":"article-journal","abstract":"Wearable, multisensor, consumer devices that estimate sleep are now commonplace, but the algorithms used by these devices to score sleep are not open source, and the raw sensor data is rarely accessible for external use. As a result, these devices are limited in their usefulness for clinical and research applications, despite holding much promise. We used a mobile application of our own creation to collect raw acceleration data and heart rate from the Apple Watch worn by participants undergoing polysomnography, as well as during the ambulatory period preceding in lab testing. Using this data, we compared the contributions of multiple features (motion, local standard deviation in heart rate, and “clock proxy”) to performance across several classifiers. Best performance was achieved using neural nets, though the differences across classifiers were generally small. For sleep-wake classification, our method scored 90% of epochs correctly, with 59.6% of true wake epochs (specificity) and 93% of true sleep epochs (sensitivity) scored correctly. Accuracy for differentiating wake, NREM sleep, and REM sleep was approximately 72% when all features were used. We generalized our results by testing the models trained on Apple Watch data using data from the Multi-ethnic Study of Atherosclerosis (MESA), and found that we were able to predict sleep with performance comparable to testing on our own dataset. This study demonstrates, for the first time, the ability to analyze raw acceleration and heart rate data from a ubiquitous wearable device with accepted, disclosed mathematical methods to improve accuracy of sleep and sleep stage prediction.","container-title":"Sleep","DOI":"10.1093/sleep/zsz180","ISSN":"0161-8105","issue":"12","journalAbbreviation":"Sleep","page":"zsz180","source":"Silverchair","title":"Sleep stage prediction with raw acceleration and photoplethysmography heart rate data derived from a consumer wearable device","volume":"42","author":[{"family":"Walch","given":"Olivia"},{"family":"Huang","given":"Yitong"},{"family":"Forger","given":"Daniel"},{"family":"Goldstein","given":"Cathy"}],"issued":{"date-parts":[["2019",12,24]]}}}],"schema":"https://github.com/citation-style-language/schema/raw/master/csl-citation.json"} </w:instrText>
      </w:r>
      <w:r w:rsidRPr="0009119E">
        <w:fldChar w:fldCharType="separate"/>
      </w:r>
      <w:r w:rsidRPr="0009119E">
        <w:rPr>
          <w:vertAlign w:val="superscript"/>
        </w:rPr>
        <w:t>44</w:t>
      </w:r>
      <w:r w:rsidRPr="0009119E">
        <w:fldChar w:fldCharType="end"/>
      </w:r>
      <w:r w:rsidRPr="0009119E">
        <w:t xml:space="preserve"> to classify the sleep period into light, deep, REM, or nighttime waking stages. </w:t>
      </w:r>
      <w:r w:rsidRPr="0009119E">
        <w:rPr>
          <w:bCs/>
        </w:rPr>
        <w:t>We will use autoregressive moving average (ARMA) models</w:t>
      </w:r>
      <w:r w:rsidRPr="0009119E">
        <w:rPr>
          <w:bCs/>
        </w:rPr>
        <w:fldChar w:fldCharType="begin"/>
      </w:r>
      <w:r w:rsidRPr="0009119E">
        <w:rPr>
          <w:bCs/>
        </w:rPr>
        <w:instrText xml:space="preserve"> ADDIN ZOTERO_ITEM CSL_CITATION {"citationID":"m5k4f3HA","properties":{"formattedCitation":"\\super 45\\nosupersub{}","plainCitation":"45","noteIndex":0},"citationItems":[{"id":"rWXnUXcb/UvmRZEH6","uris":["http://zotero.org/users/6694618/items/JXPB4RLH"],"itemData":{"id":1576,"type":"article-journal","abstract":"A compositional time series is a multivariate time series in which the observation vector at each time point is a set of proportions that sum to 1. Traditionally, such time series are modeled by taking a log-ratio transformation of the observations and then modeling them with a Gaussian vector autoregressive moving average (ARMA) model. In this paper, a new class of models is proposed by assuming that the proportions follow a time-varying Dirichlet distribution, and that the corresponding time-varying parameters, after a proper transformation, assume an ARMA-type of dynamic structure. The new model is referred to as the Dirichlet autoregressive moving average (DARMA) model. Under this model, after a proper transformation, the original data follow a vector ARMA model with a martingale difference sequence as its noise series. Two specific transformations are studied under the DARMA framework. Estimation procedures are developed and their numerical properties are investigated. Simulation studies and real examples are presented to demonstrate the properties of the proposed models, and comparisons are made with the existing modeling approaches.","container-title":"Journal of Multivariate Analysis","DOI":"10.1016/j.jmva.2017.03.006","ISSN":"0047-259X","journalAbbreviation":"Journal of Multivariate Analysis","language":"en","page":"31-46","source":"ScienceDirect","title":"Dirichlet ARMA models for compositional time series","volume":"158","author":[{"family":"Zheng","given":"Tingguo"},{"family":"Chen","given":"Rong"}],"issued":{"date-parts":[["2017",6,1]]}}}],"schema":"https://github.com/citation-style-language/schema/raw/master/csl-citation.json"} </w:instrText>
      </w:r>
      <w:r w:rsidRPr="0009119E">
        <w:rPr>
          <w:bCs/>
        </w:rPr>
        <w:fldChar w:fldCharType="separate"/>
      </w:r>
      <w:r w:rsidRPr="0009119E">
        <w:rPr>
          <w:vertAlign w:val="superscript"/>
        </w:rPr>
        <w:t>45</w:t>
      </w:r>
      <w:r w:rsidRPr="0009119E">
        <w:fldChar w:fldCharType="end"/>
      </w:r>
      <w:r w:rsidRPr="0009119E">
        <w:rPr>
          <w:bCs/>
        </w:rPr>
        <w:t xml:space="preserve"> to summarize relative proportions of wake, light, deep, and REM sleep over time. </w:t>
      </w:r>
      <w:r w:rsidRPr="0009119E">
        <w:rPr>
          <w:bCs/>
          <w:i/>
          <w:iCs/>
        </w:rPr>
        <w:t>Outcome</w:t>
      </w:r>
      <w:r w:rsidRPr="0009119E">
        <w:rPr>
          <w:i/>
          <w:iCs/>
        </w:rPr>
        <w:t>–</w:t>
      </w:r>
      <w:r w:rsidRPr="0009119E">
        <w:t>The primary outcome would be the average T</w:t>
      </w:r>
      <w:r w:rsidRPr="0009119E">
        <w:rPr>
          <w:vertAlign w:val="subscript"/>
        </w:rPr>
        <w:t>diff</w:t>
      </w:r>
      <w:r w:rsidRPr="0009119E">
        <w:t xml:space="preserve"> between AI-detected sleep periods and device software-generated sleep periods (CenterPoint app), while the secondary outcome would be the RMSE of AI-derived sleep duration against the device software-computed sleep duration for each sleep stage.</w:t>
      </w:r>
    </w:p>
    <w:p w14:paraId="511BD9E7" w14:textId="77777777" w:rsidR="003562FC" w:rsidRDefault="003562FC" w:rsidP="003562FC"/>
    <w:p w14:paraId="3483596C" w14:textId="77777777" w:rsidR="003562FC" w:rsidRPr="0009119E" w:rsidRDefault="00000000" w:rsidP="003562FC">
      <w:r w:rsidRPr="0009119E">
        <w:t xml:space="preserve">4. </w:t>
      </w:r>
      <w:r w:rsidRPr="0009119E">
        <w:rPr>
          <w:u w:val="single"/>
        </w:rPr>
        <w:t>AI-guided clustering of BP trajectories</w:t>
      </w:r>
      <w:r w:rsidRPr="0009119E">
        <w:t xml:space="preserve">: </w:t>
      </w:r>
      <w:r w:rsidRPr="0009119E">
        <w:rPr>
          <w:bCs/>
          <w:i/>
          <w:iCs/>
        </w:rPr>
        <w:t>Objective–</w:t>
      </w:r>
      <w:r w:rsidRPr="0009119E">
        <w:rPr>
          <w:bCs/>
        </w:rPr>
        <w:t xml:space="preserve">We will compute the </w:t>
      </w:r>
      <w:r w:rsidRPr="0009119E">
        <w:t>MESOR</w:t>
      </w:r>
      <w:r w:rsidRPr="0009119E">
        <w:fldChar w:fldCharType="begin"/>
      </w:r>
      <w:r w:rsidRPr="0009119E">
        <w:instrText xml:space="preserve"> ADDIN ZOTERO_ITEM CSL_CITATION {"citationID":"8Lvh1osO","properties":{"formattedCitation":"\\super 46\\nosupersub{}","plainCitation":"46","noteIndex":0},"citationItems":[{"id":"rWXnUXcb/eACc7Y4I","uris":["http://zotero.org/users/6694618/items/C9YG5ASC"],"itemData":{"id":1608,"type":"article-journal","abstract":"Blood pressure in normal and hypertensive subjects shows circadian variability with the minima during the hours of sleep. The factors influencing blood pressure show circadian variability, in particular, plasma and urinary aldosterone, plasma deoxycorticosterone and urinary sodium (factors implicated in cardiac output), angiotensin II as measured by plasma renin activity, plasma and urinary epinephrine and norepinephrine, and plasma and urinary prostaglandins of the E series (factors implicated in peripheral resistance). Direct causal relationships have not been established. The treatment of hypertensive subjects in relation to the circadian variability is reviewed.","container-title":"Nephron","DOI":"10.1159/000181615","ISSN":"1660-8151","issue":"2-3","journalAbbreviation":"Nephron","page":"91-97","source":"Silverchair","title":"Chronobiology of Blood Pressure","volume":"23","author":[{"family":"Delea","given":"Catherine S."}],"issued":{"date-parts":[["2008",12,2]]}}}],"schema":"https://github.com/citation-style-language/schema/raw/master/csl-citation.json"} </w:instrText>
      </w:r>
      <w:r w:rsidRPr="0009119E">
        <w:fldChar w:fldCharType="separate"/>
      </w:r>
      <w:r w:rsidRPr="0009119E">
        <w:rPr>
          <w:vertAlign w:val="superscript"/>
        </w:rPr>
        <w:t>46</w:t>
      </w:r>
      <w:r w:rsidRPr="0009119E">
        <w:fldChar w:fldCharType="end"/>
      </w:r>
      <w:r w:rsidRPr="0009119E">
        <w:t xml:space="preserve"> (midline estimating statistic of rhythm, defined as the average value of the rhythmic function fitted to the data) of the SBP and DBP at each visit, and use AI clustering tools to characterize changes in these values over pregnancy. </w:t>
      </w:r>
      <w:r w:rsidRPr="0009119E">
        <w:rPr>
          <w:i/>
          <w:iCs/>
        </w:rPr>
        <w:t>Method–</w:t>
      </w:r>
      <w:r w:rsidRPr="0009119E">
        <w:t>We will first create BP trajectories by aggregating the average 24-hr SBP and DBP from each visit</w:t>
      </w:r>
      <w:r w:rsidRPr="0009119E">
        <w:rPr>
          <w:bCs/>
        </w:rPr>
        <w:t xml:space="preserve">. We will then use the functional principal component analysis followed by k-means clustering to cluster BP trajectories. </w:t>
      </w:r>
      <w:r w:rsidRPr="0009119E">
        <w:rPr>
          <w:i/>
          <w:iCs/>
        </w:rPr>
        <w:t>Analysis–</w:t>
      </w:r>
      <w:r w:rsidRPr="0009119E">
        <w:t xml:space="preserve">We will identify which BP trajectory clusters were associated with normotensive pregnancies, and which were associated with gestational hypertension and pre-eclampsia. </w:t>
      </w:r>
      <w:r w:rsidRPr="0009119E">
        <w:rPr>
          <w:i/>
          <w:iCs/>
        </w:rPr>
        <w:t>Outcomes-</w:t>
      </w:r>
      <w:r w:rsidRPr="0009119E">
        <w:t>The primary outcome will be clustering accuracy computed by comparing the true cluster label of trajectories (example normotensive, gestational hypertension, or pre-eclampsia) vs the cluster label predicted by the clustering algorithm.</w:t>
      </w:r>
    </w:p>
    <w:p w14:paraId="2E0A4A4B" w14:textId="77777777" w:rsidR="003562FC" w:rsidRDefault="003562FC" w:rsidP="003562FC"/>
    <w:p w14:paraId="5BD0F2B7" w14:textId="77777777" w:rsidR="003562FC" w:rsidRPr="0009119E" w:rsidRDefault="00000000" w:rsidP="003562FC">
      <w:r w:rsidRPr="0009119E">
        <w:t xml:space="preserve">5. </w:t>
      </w:r>
      <w:r w:rsidRPr="0009119E">
        <w:rPr>
          <w:u w:val="single"/>
        </w:rPr>
        <w:t>Correlation of wearable metrics with maternal and neonatal outcomes</w:t>
      </w:r>
      <w:r w:rsidRPr="0009119E">
        <w:t>: We will calculate a Spearman correlation between the CGM and actigraphy metrics with the following maternal characteristics, maternal outcomes, and neonatal outcomes</w:t>
      </w:r>
      <w:r w:rsidRPr="0009119E">
        <w:fldChar w:fldCharType="begin"/>
      </w:r>
      <w:r w:rsidRPr="0009119E">
        <w:instrText xml:space="preserve"> ADDIN ZOTERO_ITEM CSL_CITATION {"citationID":"pYsI7Uam","properties":{"formattedCitation":"\\super 47\\nosupersub{}","plainCitation":"47","noteIndex":0},"citationItems":[{"id":539,"uris":["http://zotero.org/users/11635066/items/5599882K"],"itemData":{"id":539,"type":"article-journal","abstract":"Background\nDiabetes mellitus is a common medical complication of pregnancy, and its treatment is complex. Recent years have seen an increase in the application of mobile health tools and advanced technologies, such as remote patient monitoring, with the aim of improving care for diabetes mellitus in pregnancy. Previous studies of these technologies for the treatment of diabetes in pregnancy have been small and have not clearly shown clinical benefit with implementation.\nObjective\nRemote patient monitoring allows clinicians to monitor patients’ health data (such as glucose values) in near real-time, between office visits, to make timely adjustments to care. Our objective was to determine if using remote patient monitoring for the management of diabetes in pregnancy leads to an improvement in maternal and neonatal outcomes.\nStudy Design\nThis was a retrospective cohort study of pregnant patients with diabetes mellitus managed by the maternal-fetal medicine practice at one academic institution between October 2019 and April 2021. This practice transitioned from paper-based blood glucose logs to remote patient monitoring in February 2020. Remote patient monitoring options included (1) device integration with Bluetooth glucometers that automatically uploaded measured glucose values to the patient’s Epic MyChart application or (2) manual entry in which patients manually logged their glucose readings into their MyChart application. Values in the MyChart application directly transferred to the patient’s electronic health record for review and management by clinicians. In total, 533 patients were studied. We compared 173 patients managed with paper logs to 360 patients managed with remote patient monitoring (176 device integration and 184 manual entry). Our primary outcomes were composite maternal morbidity (which included third- and fourth-degree lacerations, chorioamnionitis, postpartum hemorrhage requiring transfusion, postpartum hysterectomy, wound infection or separation, venous thromboembolism, and maternal admission to the intensive care unit) and composite neonatal morbidity (which included umbilical cord pH &lt;7.00, 5 minute Apgar score &lt;7, respiratory morbidity, hyperbilirubinemia, meconium aspiration, intraventricular hemorrhage, necrotizing enterocolitis, sepsis, pneumonia, seizures, hypoxic ischemic encephalopathy, shoulder dystocia, trauma, brain or body cooling, and neonatal intensive care unit admission). Secondary outcomes were measures of glycemic control and the individual components of the primary composite outcomes. We also performed a secondary analysis in which the patients who used the two different remote patient monitoring options (device integration vs manual entry) were compared. Chi-square, Fisher’s exact, 2-sample t, and Mann-Whitney tests were used to compare the groups. A result was considered statistically significant at P&lt;.05.\nResults\nMaternal baseline characteristics were not significantly different between the remote patient monitoring and paper groups aside from a slightly higher baseline rate of chronic hypertension in the remote patient monitoring group (6.1% vs 1.2%; P=.011). The primary outcomes of composite maternal and composite neonatal morbidity were not significantly different between the groups. However, remote patient monitoring patients submitted more glucose values (177 vs 146; P=.008), were more likely to achieve glycemic control in target range (79.2% vs 52.0%; P&lt;.0001), and achieved the target range sooner (median, 3.3 vs 4.1 weeks; P=.025) than patients managed with paper logs. This was achieved without increasing in-person visits. Remote patient monitoring patients had lower rates of preeclampsia (5.8% vs 15.0%; P=.0006) and their infants had lower rates of neonatal hypoglycemia in the first 24 hours of life (29.8% vs 51.7%; P&lt;.0001).\nConclusion\nRemote patient monitoring for the management of diabetes mellitus in pregnancy is superior to a traditional paper-based approach in achieving glycemic control and is associated with improved maternal and neonatal outcomes.","container-title":"American Journal of Obstetrics and Gynecology","DOI":"10.1016/j.ajog.2023.02.015","ISSN":"0002-9378","issue":"6","journalAbbreviation":"American Journal of Obstetrics and Gynecology","page":"726.e1-726.e11","source":"ScienceDirect","title":"Remote patient monitoring for management of diabetes mellitus in pregnancy is associated with improved maternal and neonatal outcomes","volume":"228","author":[{"family":"Kantorowska","given":"Agata"},{"family":"Cohen","given":"Koral"},{"family":"Oberlander","given":"Maxwell"},{"family":"Jaysing","given":"Anna R."},{"family":"Akerman","given":"Meredith B."},{"family":"Wise","given":"Anne-Marie"},{"family":"Mann","given":"Devin M."},{"family":"Testa","given":"Paul A."},{"family":"Chavez","given":"Martin R."},{"family":"Vintzileos","given":"Anthony M."},{"family":"Heo","given":"Hye J."}],"issued":{"date-parts":[["2023",6,1]]}}}],"schema":"https://github.com/citation-style-language/schema/raw/master/csl-citation.json"} </w:instrText>
      </w:r>
      <w:r w:rsidRPr="0009119E">
        <w:fldChar w:fldCharType="separate"/>
      </w:r>
      <w:r w:rsidRPr="0009119E">
        <w:rPr>
          <w:vertAlign w:val="superscript"/>
        </w:rPr>
        <w:t>47</w:t>
      </w:r>
      <w:r w:rsidRPr="0009119E">
        <w:fldChar w:fldCharType="end"/>
      </w:r>
      <w:r w:rsidRPr="0009119E">
        <w:t xml:space="preserve"> abstracted from the maternal and neonatal electronic health record (</w:t>
      </w:r>
      <w:r w:rsidRPr="0009119E">
        <w:rPr>
          <w:b/>
        </w:rPr>
        <w:t>Table 1</w:t>
      </w:r>
      <w:r w:rsidRPr="0009119E">
        <w:t>):</w:t>
      </w:r>
    </w:p>
    <w:p w14:paraId="79FC3DA7" w14:textId="77777777" w:rsidR="003562FC" w:rsidRPr="0009119E" w:rsidRDefault="00000000" w:rsidP="003562FC">
      <w:pPr>
        <w:pStyle w:val="Caption"/>
        <w:keepNext/>
        <w:spacing w:after="0"/>
        <w:rPr>
          <w:color w:val="auto"/>
          <w:sz w:val="20"/>
          <w:szCs w:val="20"/>
        </w:rPr>
      </w:pPr>
      <w:r w:rsidRPr="0009119E">
        <w:rPr>
          <w:color w:val="auto"/>
          <w:sz w:val="20"/>
          <w:szCs w:val="20"/>
        </w:rPr>
        <w:t xml:space="preserve">Table </w:t>
      </w:r>
      <w:r w:rsidRPr="0009119E">
        <w:rPr>
          <w:color w:val="auto"/>
          <w:sz w:val="20"/>
          <w:szCs w:val="20"/>
        </w:rPr>
        <w:fldChar w:fldCharType="begin"/>
      </w:r>
      <w:r w:rsidRPr="0009119E">
        <w:rPr>
          <w:color w:val="auto"/>
          <w:sz w:val="20"/>
          <w:szCs w:val="20"/>
        </w:rPr>
        <w:instrText xml:space="preserve"> SEQ Table \* ARABIC </w:instrText>
      </w:r>
      <w:r w:rsidRPr="0009119E">
        <w:rPr>
          <w:color w:val="auto"/>
          <w:sz w:val="20"/>
          <w:szCs w:val="20"/>
        </w:rPr>
        <w:fldChar w:fldCharType="separate"/>
      </w:r>
      <w:r w:rsidRPr="0009119E">
        <w:rPr>
          <w:noProof/>
          <w:color w:val="auto"/>
          <w:sz w:val="20"/>
          <w:szCs w:val="20"/>
        </w:rPr>
        <w:t>1</w:t>
      </w:r>
      <w:r w:rsidRPr="0009119E">
        <w:rPr>
          <w:color w:val="auto"/>
          <w:sz w:val="20"/>
          <w:szCs w:val="20"/>
        </w:rPr>
        <w:fldChar w:fldCharType="end"/>
      </w:r>
      <w:r w:rsidRPr="0009119E">
        <w:rPr>
          <w:color w:val="auto"/>
          <w:sz w:val="20"/>
          <w:szCs w:val="20"/>
        </w:rPr>
        <w:t>: List of maternal characteristics, maternal and neonatal exploratory outcomes</w:t>
      </w:r>
    </w:p>
    <w:tbl>
      <w:tblPr>
        <w:tblStyle w:val="TableGrid"/>
        <w:tblW w:w="0" w:type="auto"/>
        <w:tblInd w:w="720" w:type="dxa"/>
        <w:tblLook w:val="04A0" w:firstRow="1" w:lastRow="0" w:firstColumn="1" w:lastColumn="0" w:noHBand="0" w:noVBand="1"/>
      </w:tblPr>
      <w:tblGrid>
        <w:gridCol w:w="2980"/>
        <w:gridCol w:w="2724"/>
        <w:gridCol w:w="3152"/>
      </w:tblGrid>
      <w:tr w:rsidR="0084152C" w14:paraId="2DBE7F53" w14:textId="77777777" w:rsidTr="003562FC">
        <w:trPr>
          <w:trHeight w:val="300"/>
        </w:trPr>
        <w:tc>
          <w:tcPr>
            <w:tcW w:w="2980" w:type="dxa"/>
            <w:shd w:val="clear" w:color="auto" w:fill="EEECE1" w:themeFill="background2"/>
          </w:tcPr>
          <w:p w14:paraId="5CD63471" w14:textId="77777777" w:rsidR="003562FC" w:rsidRPr="0009119E" w:rsidRDefault="00000000" w:rsidP="003562FC">
            <w:r w:rsidRPr="0009119E">
              <w:t>Maternal characteristics</w:t>
            </w:r>
          </w:p>
        </w:tc>
        <w:tc>
          <w:tcPr>
            <w:tcW w:w="2724" w:type="dxa"/>
            <w:shd w:val="clear" w:color="auto" w:fill="EEECE1" w:themeFill="background2"/>
          </w:tcPr>
          <w:p w14:paraId="20A6A7CC" w14:textId="77777777" w:rsidR="003562FC" w:rsidRPr="0009119E" w:rsidRDefault="00000000" w:rsidP="003562FC">
            <w:r w:rsidRPr="0009119E">
              <w:t>Maternal outcomes</w:t>
            </w:r>
          </w:p>
        </w:tc>
        <w:tc>
          <w:tcPr>
            <w:tcW w:w="3152" w:type="dxa"/>
            <w:shd w:val="clear" w:color="auto" w:fill="EEECE1" w:themeFill="background2"/>
          </w:tcPr>
          <w:p w14:paraId="3480014C" w14:textId="77777777" w:rsidR="003562FC" w:rsidRPr="0009119E" w:rsidRDefault="00000000" w:rsidP="003562FC">
            <w:r w:rsidRPr="0009119E">
              <w:t xml:space="preserve">Neonatal outcomes </w:t>
            </w:r>
          </w:p>
        </w:tc>
      </w:tr>
      <w:tr w:rsidR="0084152C" w14:paraId="79BF2DB1" w14:textId="77777777" w:rsidTr="003562FC">
        <w:trPr>
          <w:trHeight w:val="300"/>
        </w:trPr>
        <w:tc>
          <w:tcPr>
            <w:tcW w:w="2980" w:type="dxa"/>
          </w:tcPr>
          <w:p w14:paraId="00276E45" w14:textId="77777777" w:rsidR="003562FC" w:rsidRPr="0009119E" w:rsidRDefault="00000000" w:rsidP="003562FC">
            <w:r w:rsidRPr="0009119E">
              <w:t>- need for medication</w:t>
            </w:r>
            <w:r w:rsidRPr="0009119E">
              <w:br/>
              <w:t>- Pre-pregnancy BMI</w:t>
            </w:r>
          </w:p>
          <w:p w14:paraId="03BDFBC0" w14:textId="77777777" w:rsidR="003562FC" w:rsidRPr="0009119E" w:rsidRDefault="00000000" w:rsidP="003562FC">
            <w:r w:rsidRPr="0009119E">
              <w:t>- Age</w:t>
            </w:r>
          </w:p>
          <w:p w14:paraId="2A6FAE73" w14:textId="77777777" w:rsidR="003562FC" w:rsidRPr="0009119E" w:rsidRDefault="00000000" w:rsidP="003562FC">
            <w:r w:rsidRPr="0009119E">
              <w:t>A1c at start of pregnancy</w:t>
            </w:r>
          </w:p>
        </w:tc>
        <w:tc>
          <w:tcPr>
            <w:tcW w:w="2724" w:type="dxa"/>
          </w:tcPr>
          <w:p w14:paraId="19842E62" w14:textId="77777777" w:rsidR="003562FC" w:rsidRPr="0009119E" w:rsidRDefault="00000000" w:rsidP="003562FC">
            <w:r w:rsidRPr="0009119E">
              <w:t>- gestational diabetes</w:t>
            </w:r>
          </w:p>
          <w:p w14:paraId="7EF42686" w14:textId="77777777" w:rsidR="003562FC" w:rsidRPr="0009119E" w:rsidRDefault="00000000" w:rsidP="003562FC">
            <w:r w:rsidRPr="0009119E">
              <w:t>- hypertensive disorders of pregnancy</w:t>
            </w:r>
          </w:p>
          <w:p w14:paraId="7776DEB8" w14:textId="77777777" w:rsidR="003562FC" w:rsidRPr="0009119E" w:rsidRDefault="00000000" w:rsidP="003562FC">
            <w:r w:rsidRPr="0009119E">
              <w:t xml:space="preserve">- gestational age at delivery </w:t>
            </w:r>
          </w:p>
          <w:p w14:paraId="264B40FE" w14:textId="77777777" w:rsidR="003562FC" w:rsidRPr="0009119E" w:rsidRDefault="00000000" w:rsidP="003562FC">
            <w:r w:rsidRPr="0009119E">
              <w:t>- mode of delivery</w:t>
            </w:r>
          </w:p>
          <w:p w14:paraId="30090566" w14:textId="77777777" w:rsidR="003562FC" w:rsidRPr="0009119E" w:rsidRDefault="00000000" w:rsidP="003562FC">
            <w:r w:rsidRPr="0009119E">
              <w:t>- perineal trauma</w:t>
            </w:r>
          </w:p>
          <w:p w14:paraId="6520EB93" w14:textId="77777777" w:rsidR="003562FC" w:rsidRPr="0009119E" w:rsidRDefault="00000000" w:rsidP="003562FC">
            <w:r w:rsidRPr="0009119E">
              <w:t xml:space="preserve">- failed postpartum GDM screening </w:t>
            </w:r>
          </w:p>
          <w:p w14:paraId="3AFA5838" w14:textId="77777777" w:rsidR="003562FC" w:rsidRPr="0009119E" w:rsidRDefault="00000000" w:rsidP="003562FC">
            <w:r w:rsidRPr="0009119E">
              <w:t>- persistent hypertension &gt;130/80 &gt; 6 weeks postpartum</w:t>
            </w:r>
          </w:p>
        </w:tc>
        <w:tc>
          <w:tcPr>
            <w:tcW w:w="3152" w:type="dxa"/>
          </w:tcPr>
          <w:p w14:paraId="311732D0" w14:textId="77777777" w:rsidR="003562FC" w:rsidRPr="0009119E" w:rsidRDefault="00000000" w:rsidP="003562FC">
            <w:r w:rsidRPr="0009119E">
              <w:t>- neonatal weight</w:t>
            </w:r>
          </w:p>
          <w:p w14:paraId="62052090" w14:textId="77777777" w:rsidR="003562FC" w:rsidRPr="0009119E" w:rsidRDefault="00000000" w:rsidP="003562FC">
            <w:r w:rsidRPr="0009119E">
              <w:t>- large for gestational age at birth</w:t>
            </w:r>
            <w:r w:rsidRPr="0009119E">
              <w:br/>
              <w:t>- shoulder dystocia</w:t>
            </w:r>
            <w:r w:rsidRPr="0009119E">
              <w:br/>
              <w:t>- birth injury</w:t>
            </w:r>
            <w:r w:rsidRPr="0009119E">
              <w:br/>
              <w:t>- NICU admission</w:t>
            </w:r>
            <w:r w:rsidRPr="0009119E">
              <w:br/>
              <w:t>- neonatal hypoglycemia</w:t>
            </w:r>
            <w:r w:rsidRPr="0009119E">
              <w:br/>
              <w:t>- composite neonatal morbidity</w:t>
            </w:r>
          </w:p>
        </w:tc>
      </w:tr>
    </w:tbl>
    <w:p w14:paraId="3648E965" w14:textId="77777777" w:rsidR="003562FC" w:rsidRPr="0009119E" w:rsidRDefault="003562FC" w:rsidP="003562FC"/>
    <w:p w14:paraId="262E988A" w14:textId="77777777" w:rsidR="003562FC" w:rsidRPr="0009119E" w:rsidRDefault="00000000" w:rsidP="003562FC">
      <w:pPr>
        <w:pStyle w:val="Heading3"/>
        <w:spacing w:before="0" w:after="0"/>
        <w:rPr>
          <w:szCs w:val="20"/>
        </w:rPr>
      </w:pPr>
      <w:bookmarkStart w:id="42" w:name="_Toc42"/>
      <w:r w:rsidRPr="0009119E">
        <w:rPr>
          <w:szCs w:val="20"/>
        </w:rPr>
        <w:t>6.4.3 Handling of Missing Data</w:t>
      </w:r>
      <w:bookmarkEnd w:id="42"/>
    </w:p>
    <w:p w14:paraId="649EBF98" w14:textId="77777777" w:rsidR="003562FC" w:rsidRPr="0009119E" w:rsidRDefault="00000000" w:rsidP="003562FC">
      <w:r w:rsidRPr="0009119E">
        <w:t>We have a comprehensive strategy to handle missing data as follows:</w:t>
      </w:r>
    </w:p>
    <w:p w14:paraId="392925C7" w14:textId="77777777" w:rsidR="003562FC" w:rsidRDefault="003562FC" w:rsidP="003562FC"/>
    <w:p w14:paraId="7A9B0AEC" w14:textId="77777777" w:rsidR="003562FC" w:rsidRPr="0009119E" w:rsidRDefault="00000000" w:rsidP="003562FC">
      <w:r w:rsidRPr="0009119E">
        <w:t>1.</w:t>
      </w:r>
      <w:r w:rsidRPr="0009119E">
        <w:rPr>
          <w:u w:val="single"/>
        </w:rPr>
        <w:t>Missed measurement periods</w:t>
      </w:r>
      <w:r w:rsidRPr="0009119E">
        <w:t>: For missed measurement periods, e.g. due to a study participant not being able to come in for one or more of scheduled visits, we will use established temporal trajectory analysis techniques for non-uniformly spaced timepoints.</w:t>
      </w:r>
      <w:r w:rsidRPr="0009119E">
        <w:fldChar w:fldCharType="begin"/>
      </w:r>
      <w:r w:rsidRPr="0009119E">
        <w:instrText xml:space="preserve"> ADDIN ZOTERO_ITEM CSL_CITATION {"citationID":"AkLNX5O7","properties":{"formattedCitation":"\\super 48,49\\nosupersub{}","plainCitation":"48,49","noteIndex":0},"citationItems":[{"id":"rWXnUXcb/pecdH12C","uris":["http://zotero.org/users/6694618/items/VJ58ZGQW"],"itemData":{"id":1671,"type":"article-journal","abstract":"zoo is an R package providing an S3 class with methods for indexed totally ordered observations, such as discrete irregular time series. Its key design goals are independence of a particular index/time/date class and consistency with base R and the \"ts\" class for regular time series. This paper describes how these are achieved within zoo and provides several illustrations of the available methods for \"zoo\" objects which include plotting, merging and binding, several mathematical operations, extracting and replacing data and index, coercion and NA handling. A subclass \"zooreg\" embeds regular time series into the \"zoo\" framework and thus bridges the gap between regular and irregular time series classes in R.","container-title":"Journal of Statistical Software","DOI":"10.18637/jss.v014.i06","ISSN":"1548-7660","language":"en","license":"Copyright (c) 2005 Achim Zeileis, Gabor Grothendieck","page":"1-27","source":"www.jstatsoft.org","title":"zoo: S3 Infrastructure for Regular and Irregular Time Series","title-short":"zoo","volume":"14","author":[{"family":"Zeileis","given":"Achim"},{"family":"Grothendieck","given":"Gabor"}],"issued":{"date-parts":[["2005",5,21]]}}},{"id":"rWXnUXcb/TdtGt8AE","uris":["http://zotero.org/users/6694618/items/TCTV22DQ"],"itemData":{"id":521,"type":"article-journal","abstract":"Existing approaches for multivariate functional principal component analysis are restricted to data on the same one-dimensional interval. The presented approach focuses on multivariate functional data on different domains that may differ in dimension, such as functions and images. The theoretical basis for multivariate functional principal component analysis is given in terms of a Karhunen–Loève Theorem. For the practically relevant case of a finite Karhunen–Loève representation, a relationship between univariate and multivariate functional principal component analysis is established. This offers an estimation strategy to calculate multivariate functional principal components and scores based on their univariate counterparts. For the resulting estimators, asymptotic results are derived. The approach can be extended to finite univariate expansions in general, not necessarily orthonormal bases. It is also applicable for sparse functional data or data with measurement error. A flexible R implementation is available on CRAN. The new method is shown to be competitive to existing approaches for data observed on a common one-dimensional domain. The motivating application is a neuroimaging study, where the goal is to explore how longitudinal trajectories of a neuropsychological test score covary with FDG-PET brain scans at baseline. Supplementary material, including detailed proofs, additional simulation results, and software is available online.","container-title":"Journal of the American Statistical Association","DOI":"10.1080/01621459.2016.1273115","ISSN":"0162-1459","issue":"522","note":"publisher: Taylor &amp; Francis\n_eprint: https://doi.org/10.1080/01621459.2016.1273115","page":"649-659","source":"Taylor and Francis+NEJM","title":"Multivariate Functional Principal Component Analysis for Data Observed on Different (Dimensional) Domains","volume":"113","author":[{"family":"Happ","given":"Clara"},{"family":"Greven","given":"Sonja"}],"issued":{"date-parts":[["2018",4,3]]}}}],"schema":"https://github.com/citation-style-language/schema/raw/master/csl-citation.json"} </w:instrText>
      </w:r>
      <w:r w:rsidRPr="0009119E">
        <w:fldChar w:fldCharType="separate"/>
      </w:r>
      <w:r w:rsidRPr="0009119E">
        <w:rPr>
          <w:vertAlign w:val="superscript"/>
        </w:rPr>
        <w:t>48,49</w:t>
      </w:r>
      <w:r w:rsidRPr="0009119E">
        <w:fldChar w:fldCharType="end"/>
      </w:r>
      <w:r w:rsidRPr="0009119E">
        <w:t xml:space="preserve"> </w:t>
      </w:r>
    </w:p>
    <w:p w14:paraId="28FEF274" w14:textId="77777777" w:rsidR="003562FC" w:rsidRDefault="003562FC" w:rsidP="003562FC"/>
    <w:p w14:paraId="57A80336" w14:textId="77777777" w:rsidR="003562FC" w:rsidRDefault="00000000" w:rsidP="003562FC">
      <w:r w:rsidRPr="0009119E">
        <w:t>2.</w:t>
      </w:r>
      <w:r w:rsidRPr="0009119E">
        <w:rPr>
          <w:u w:val="single"/>
        </w:rPr>
        <w:t>Missing data within a measurement period</w:t>
      </w:r>
      <w:r w:rsidRPr="0009119E">
        <w:t>: We recognize the possibility of incomplete data in each measurement period due to non-compliance, device fall-off, or damage. Since our application focuses on bio-behavior events that occur frequently, our AI models would be robust to even large fractions of missed readings. For example, for the meal detection task, assuming 3 meals/day, we expect to have a total of 210 meals (14 days, 5 periods, 3 meals) per person. Even if we lose ~80% of data, we still would have ~42 meals (~2 weeks of 3 meals) per person which previous studies</w:t>
      </w:r>
      <w:r w:rsidRPr="0009119E">
        <w:fldChar w:fldCharType="begin"/>
      </w:r>
      <w:r w:rsidRPr="0009119E">
        <w:instrText xml:space="preserve"> ADDIN ZOTERO_ITEM CSL_CITATION {"citationID":"2XicT3YB","properties":{"formattedCitation":"\\super 50,51\\nosupersub{}","plainCitation":"50,51","noteIndex":0},"citationItems":[{"id":"rWXnUXcb/lyFTYO0K","uris":["http://zotero.org/users/6694618/items/IKBA4HJX"],"itemData":{"id":1277,"type":"article-journal","abstract":"BACKGROUND: Dietary modifications are crucial for managing newly diagnosed type 2 diabetes mellitus (T2DM) and preventing its health complications, but many patients fail to achieve clinical goals with diet alone. We sought to evaluate the clinical effects of a personalized postprandial-targeting (PPT) diet on glycemic control and metabolic health in individuals with newly diagnosed T2DM as compared to the commonly recommended Mediterranean-style (MED) diet.\nMETHODS: We enrolled 23 adults with newly diagnosed T2DM (aged 53.5 ± 8.9 years, 48% males) for a randomized crossover trial of two 2-week-long dietary interventions. Participants were blinded to their assignment to one of the two sequence groups: either PPT-MED or MED-PPT diets. The PPT diet relies on a machine learning algorithm that integrates clinical and microbiome features to predict personal postprandial glucose responses (PPGR). We further evaluated the long-term effects of PPT diet on glycemic control and metabolic health by an additional 6-month PPT intervention (n = 16). Participants were connected to continuous glucose monitoring (CGM) throughout the study and self-recorded dietary intake using a smartphone application.\nRESULTS: In the crossover intervention, the PPT diet lead to significant lower levels of CGM-based measures as compared to the MED diet, including average PPGR (mean difference between diets, - 19.8 ± 16.3 mg/dl × h, p &lt; 0.001), mean glucose (mean difference between diets, - 7.8 ± 5.5 mg/dl, p &lt; 0.001), and daily time of glucose levels &gt; 140 mg/dl (mean difference between diets, - 2.42 ± 1.7 h/day, p &lt; 0.001). Blood fructosamine also decreased significantly more during PPT compared to MED intervention (mean change difference between diets, - 16.4 ± 37 μmol/dl, p &lt; 0.0001). At the end of 6 months, the PPT intervention leads to significant improvements in multiple metabolic health parameters, among them HbA1c (mean ± SD, - 0.39 ± 0.48%, p &lt; 0.001), fasting glucose (- 16.4 ± 24.2 mg/dl, p = 0.02) and triglycerides (- 49 ± 46 mg/dl, p &lt; 0.001). Importantly, 61% of the participants exhibited diabetes remission, as measured by HbA1c &lt; 6.5%. Finally, some clinical improvements were significantly associated with gut microbiome changes per person.\nCONCLUSION: In this crossover trial in subjects with newly diagnosed T2DM, a PPT diet improved CGM-based glycemic measures significantly more than a Mediterranean-style MED diet. Additional 6-month PPT intervention further improved glycemic control and metabolic health parameters, supporting the clinical efficacy of this approach.\nTRIAL REGISTRATION: ClinicalTrials.gov number, NCT01892956.","container-title":"BMC medicine","DOI":"10.1186/s12916-022-02254-y","ISSN":"1741-7015","issue":"1","journalAbbreviation":"BMC Med","language":"eng","note":"PMID: 35135549\nPMCID: PMC8826661","page":"56","source":"PubMed","title":"Effects of personalized diets by prediction of glycemic responses on glycemic control and metabolic health in newly diagnosed T2DM: a randomized dietary intervention pilot trial","title-short":"Effects of personalized diets by prediction of glycemic responses on glycemic control and metabolic health in newly diagnosed T2DM","volume":"20","author":[{"family":"Rein","given":"Michal"},{"family":"Ben-Yacov","given":"Orly"},{"family":"Godneva","given":"Anastasia"},{"family":"Shilo","given":"Smadar"},{"family":"Zmora","given":"Niv"},{"family":"Kolobkov","given":"Dmitry"},{"family":"Cohen-Dolev","given":"Noa"},{"family":"Wolf","given":"Bat-Chen"},{"family":"Kosower","given":"Noa"},{"family":"Lotan-Pompan","given":"Maya"},{"family":"Weinberger","given":"Adina"},{"family":"Halpern","given":"Zamir"},{"family":"Zelber-Sagi","given":"Shira"},{"family":"Elinav","given":"Eran"},{"family":"Segal","given":"Eran"}],"issued":{"date-parts":[["2022",2,9]]}}},{"id":"rWXnUXcb/6gxzFeun","uris":["http://zotero.org/users/6694618/items/BFH89PGP"],"itemData":{"id":1721,"type":"article-journal","abstract":"Despite technological advances, results from various clinical trials have repeatedly shown that many individuals with type 1 diabetes (T1D) do not achieve their glycemic goals. One of the major challenges in disease management is the administration of an accurate amount of insulin for each meal that will match the expected postprandial glycemic response (PPGR). The objective of this study was to develop a prediction model for PPGR in individuals with T1D.We recruited individuals with T1D who were using continuous glucose monitoring and continuous subcutaneous insulin infusion devices simultaneously to a prospective cohort and profiled them for 2 weeks. Participants were asked to report real-time dietary intake using a designated mobile app. We measured their PPGRs and devised machine learning algorithms for PPGR prediction, which integrate glucose measurements, insulin dosages, dietary habits, blood parameters, anthropometrics, exercise, and gut microbiota. Data of the PPGR of 900 healthy individuals to 41,371 meals were also integrated into the model. The performance of the models was evaluated with 10-fold cross validation.A total of 121 individuals with T1D, 75 adults and 46 children, were included in the study. PPGR to 6,377 meals was measured. Our PPGR prediction model substantially outperforms a baseline model with emulation of standard of care (correlation of R = 0.59 compared with R = 0.40 for predicted and observed PPGR respectively; P &amp;lt; 10−10). The model was robust across different subpopulations. Feature attribution analysis revealed that glucose levels at meal initiation, glucose trend 30 min prior to meal, meal carbohydrate content, and meal’s carbohydrate-to-fat ratio were the most influential features for the model.Our model enables a more accurate prediction of PPGR and therefore may allow a better adjustment of the required insulin dosage for meals. It can be further implemented in closed loop systems and may lead to rationally designed nutritional interventions personally tailored for individuals with T1D on the basis of meals with expected low glycemic response.","container-title":"Diabetes Care","DOI":"10.2337/dc21-1048","ISSN":"0149-5992","issue":"3","journalAbbreviation":"Diabetes Care","page":"502-511","source":"Silverchair","title":"Prediction of Personal Glycemic Responses to Food for Individuals With Type 1 Diabetes Through Integration of Clinical and Microbial Data","volume":"45","author":[{"family":"Shilo","given":"Smadar"},{"family":"Godneva","given":"Anastasia"},{"family":"Rachmiel","given":"Marianna"},{"family":"Korem","given":"Tal"},{"family":"Kolobkov","given":"Dmitry"},{"family":"Karady","given":"Tal"},{"family":"Bar","given":"Noam"},{"family":"Wolf","given":"Bat Chen"},{"family":"Glantz-Gashai","given":"Yitav"},{"family":"Cohen","given":"Michal"},{"family":"Zuckerman Levin","given":"Nehama"},{"family":"Shehadeh","given":"Naim"},{"family":"Gruber","given":"Noah"},{"family":"Levran","given":"Neriya"},{"family":"Koren","given":"Shlomit"},{"family":"Weinberger","given":"Adina"},{"family":"Pinhas-Hamiel","given":"Orit"},{"family":"Segal","given":"Eran"}],"issued":{"date-parts":[["2021",10,19]]}}}],"schema":"https://github.com/citation-style-language/schema/raw/master/csl-citation.json"} </w:instrText>
      </w:r>
      <w:r w:rsidRPr="0009119E">
        <w:fldChar w:fldCharType="separate"/>
      </w:r>
      <w:r w:rsidRPr="0009119E">
        <w:rPr>
          <w:vertAlign w:val="superscript"/>
        </w:rPr>
        <w:t>50,51</w:t>
      </w:r>
      <w:r w:rsidRPr="0009119E">
        <w:fldChar w:fldCharType="end"/>
      </w:r>
      <w:r w:rsidRPr="0009119E">
        <w:t xml:space="preserve"> have used for AI prediction tasks. </w:t>
      </w:r>
    </w:p>
    <w:p w14:paraId="63901BDC" w14:textId="77777777" w:rsidR="003562FC" w:rsidRPr="0009119E" w:rsidRDefault="003562FC" w:rsidP="003562FC"/>
    <w:p w14:paraId="2A89C0AF" w14:textId="77777777" w:rsidR="003562FC" w:rsidRPr="0009119E" w:rsidRDefault="00000000" w:rsidP="003562FC">
      <w:pPr>
        <w:pStyle w:val="Heading1"/>
        <w:spacing w:after="0"/>
        <w:rPr>
          <w:rFonts w:cs="Arial"/>
          <w:sz w:val="20"/>
          <w:szCs w:val="20"/>
        </w:rPr>
      </w:pPr>
      <w:bookmarkStart w:id="43" w:name="_Toc43"/>
      <w:r w:rsidRPr="0009119E">
        <w:rPr>
          <w:rFonts w:cs="Arial"/>
          <w:sz w:val="20"/>
          <w:szCs w:val="20"/>
        </w:rPr>
        <w:t>7. Trial Administration</w:t>
      </w:r>
      <w:bookmarkEnd w:id="43"/>
    </w:p>
    <w:p w14:paraId="01B1B36C" w14:textId="77777777" w:rsidR="003562FC" w:rsidRPr="0009119E" w:rsidRDefault="00000000" w:rsidP="003562FC">
      <w:pPr>
        <w:pStyle w:val="Heading2"/>
        <w:spacing w:before="0" w:after="0"/>
        <w:rPr>
          <w:rFonts w:cs="Arial"/>
          <w:szCs w:val="20"/>
        </w:rPr>
      </w:pPr>
      <w:bookmarkStart w:id="44" w:name="_Toc44"/>
      <w:r w:rsidRPr="0009119E">
        <w:rPr>
          <w:rFonts w:cs="Arial"/>
          <w:szCs w:val="20"/>
        </w:rPr>
        <w:t>7.1</w:t>
      </w:r>
      <w:r>
        <w:rPr>
          <w:rFonts w:cs="Arial"/>
          <w:szCs w:val="20"/>
        </w:rPr>
        <w:t xml:space="preserve"> </w:t>
      </w:r>
      <w:r w:rsidRPr="0009119E">
        <w:rPr>
          <w:rFonts w:cs="Arial"/>
          <w:szCs w:val="20"/>
        </w:rPr>
        <w:t>Ethical Considerations: Informed Consent/Assent and HIPAA Authorization</w:t>
      </w:r>
      <w:bookmarkEnd w:id="44"/>
    </w:p>
    <w:p w14:paraId="193CF268" w14:textId="77777777" w:rsidR="003562FC" w:rsidRDefault="00000000" w:rsidP="003562FC">
      <w:r w:rsidRPr="0009119E">
        <w:t>Consent and HIPPA Authorization will be obtained from participants by a trained research coordinator, following all institutional procedures for documenting consent.</w:t>
      </w:r>
    </w:p>
    <w:p w14:paraId="522C2DCA" w14:textId="77777777" w:rsidR="003562FC" w:rsidRPr="0009119E" w:rsidRDefault="003562FC" w:rsidP="003562FC"/>
    <w:p w14:paraId="03E57D19" w14:textId="77777777" w:rsidR="003562FC" w:rsidRDefault="00000000" w:rsidP="003562FC">
      <w:r w:rsidRPr="0009119E">
        <w:t xml:space="preserve">The consent form will be written at a reading level that reflects IRB guidance for participant comprehension. A study staff member will go over the consent form in its entirety with potential participants and give them ample time to </w:t>
      </w:r>
      <w:r w:rsidRPr="0009119E">
        <w:lastRenderedPageBreak/>
        <w:t xml:space="preserve">consider participating and answer any questions they may have. The voluntary nature of this research will be emphasized to participants. Participants will all receive a signed copy of the informed consent. Should a potential </w:t>
      </w:r>
      <w:r w:rsidRPr="00385A8D">
        <w:t>participant have limited English proficiency,</w:t>
      </w:r>
      <w:r w:rsidRPr="0009119E">
        <w:t xml:space="preserve"> the study and consent form will be explained through a bilingual translator in person, and a short form consent will be provided to the participant in their preferred language to sign, should they like to participate.</w:t>
      </w:r>
    </w:p>
    <w:p w14:paraId="15FCCBFA" w14:textId="77777777" w:rsidR="003562FC" w:rsidRPr="0009119E" w:rsidRDefault="003562FC" w:rsidP="003562FC"/>
    <w:p w14:paraId="1E29E986" w14:textId="77777777" w:rsidR="003562FC" w:rsidRDefault="00000000" w:rsidP="003562FC">
      <w:r w:rsidRPr="0009119E">
        <w:t xml:space="preserve"> All informed consents will be maintained for study purposes and review if needed.</w:t>
      </w:r>
    </w:p>
    <w:p w14:paraId="48F079E5" w14:textId="77777777" w:rsidR="003562FC" w:rsidRPr="0009119E" w:rsidRDefault="003562FC" w:rsidP="003562FC"/>
    <w:p w14:paraId="4C811338" w14:textId="77777777" w:rsidR="003562FC" w:rsidRPr="0009119E" w:rsidRDefault="00000000" w:rsidP="003562FC">
      <w:pPr>
        <w:pStyle w:val="Heading2"/>
        <w:spacing w:before="0" w:after="0"/>
        <w:rPr>
          <w:rFonts w:cs="Arial"/>
          <w:szCs w:val="20"/>
        </w:rPr>
      </w:pPr>
      <w:bookmarkStart w:id="45" w:name="_Toc45"/>
      <w:r w:rsidRPr="0009119E">
        <w:rPr>
          <w:rFonts w:cs="Arial"/>
          <w:szCs w:val="20"/>
        </w:rPr>
        <w:t>7.2 Institutional Review Board (IRB) Review</w:t>
      </w:r>
      <w:bookmarkEnd w:id="45"/>
    </w:p>
    <w:p w14:paraId="0ECB1AB2" w14:textId="77777777" w:rsidR="003562FC" w:rsidRDefault="00000000" w:rsidP="003562FC">
      <w:r w:rsidRPr="0009119E">
        <w:t>This study will obtain IRB Review approval before any study procedures are performed. All amendments to the study will be submitted to the IRB ahead of the implementation of any changes to the study.</w:t>
      </w:r>
    </w:p>
    <w:p w14:paraId="20CBDFDB" w14:textId="77777777" w:rsidR="003562FC" w:rsidRPr="0009119E" w:rsidRDefault="003562FC" w:rsidP="003562FC"/>
    <w:p w14:paraId="48578915" w14:textId="77777777" w:rsidR="003562FC" w:rsidRPr="0009119E" w:rsidRDefault="00000000" w:rsidP="003562FC">
      <w:pPr>
        <w:pStyle w:val="Heading2"/>
        <w:spacing w:before="0" w:after="0"/>
        <w:rPr>
          <w:rFonts w:cs="Arial"/>
          <w:szCs w:val="20"/>
        </w:rPr>
      </w:pPr>
      <w:bookmarkStart w:id="46" w:name="_Toc46"/>
      <w:r w:rsidRPr="0009119E">
        <w:rPr>
          <w:rFonts w:cs="Arial"/>
          <w:szCs w:val="20"/>
        </w:rPr>
        <w:t>7.3 Subject Confidentiality</w:t>
      </w:r>
      <w:bookmarkEnd w:id="46"/>
    </w:p>
    <w:p w14:paraId="6132D121" w14:textId="77777777" w:rsidR="003562FC" w:rsidRDefault="00000000" w:rsidP="003562FC">
      <w:r w:rsidRPr="0009119E">
        <w:t>Participant confidentiality will be treated with the highest regard. All patients will be assigned a unique code upon consenting, and only that code will be used to describe patients through the study. Only IRB-approved members of the study team will have access to the link between unique code and identifiable patient information. The link between this code and patient information will be stored in a secured database, REDCap. All data will be stored on secured MCIT issued shared drives at NYULH or in a secured project in REDCap. Only IRB approved study team members will have access to the REDCap project. Study team members will follow all NYULH policies for patient confidentiality and HIPPA compliance.</w:t>
      </w:r>
    </w:p>
    <w:p w14:paraId="758DCB68" w14:textId="77777777" w:rsidR="003562FC" w:rsidRPr="0009119E" w:rsidRDefault="003562FC" w:rsidP="003562FC"/>
    <w:p w14:paraId="5BC14E9D" w14:textId="77777777" w:rsidR="003562FC" w:rsidRPr="0009119E" w:rsidRDefault="00000000" w:rsidP="003562FC">
      <w:pPr>
        <w:pStyle w:val="Heading2"/>
        <w:spacing w:before="0" w:after="0"/>
        <w:rPr>
          <w:rFonts w:cs="Arial"/>
          <w:szCs w:val="20"/>
        </w:rPr>
      </w:pPr>
      <w:bookmarkStart w:id="47" w:name="_Toc47"/>
      <w:r w:rsidRPr="0009119E">
        <w:rPr>
          <w:rFonts w:cs="Arial"/>
          <w:szCs w:val="20"/>
        </w:rPr>
        <w:t>7.4 Deviations/Unanticipated Problems</w:t>
      </w:r>
      <w:bookmarkEnd w:id="47"/>
    </w:p>
    <w:p w14:paraId="21F1C45D" w14:textId="77777777" w:rsidR="003562FC" w:rsidRDefault="00000000" w:rsidP="003562FC">
      <w:r w:rsidRPr="0009119E">
        <w:t>The principal investigators are responsible for reporting deviations, adverse events and unanticipated problems. All events that must be reported will be reported to the IRB according to IRB procedure.</w:t>
      </w:r>
    </w:p>
    <w:p w14:paraId="5306E9C4" w14:textId="77777777" w:rsidR="003562FC" w:rsidRPr="0009119E" w:rsidRDefault="003562FC" w:rsidP="003562FC"/>
    <w:p w14:paraId="4B42F711" w14:textId="77777777" w:rsidR="003562FC" w:rsidRPr="0009119E" w:rsidRDefault="00000000" w:rsidP="003562FC">
      <w:pPr>
        <w:pStyle w:val="Heading2"/>
        <w:spacing w:before="0" w:after="0"/>
        <w:rPr>
          <w:rFonts w:cs="Arial"/>
          <w:szCs w:val="20"/>
        </w:rPr>
      </w:pPr>
      <w:bookmarkStart w:id="48" w:name="_Toc48"/>
      <w:r w:rsidRPr="0009119E">
        <w:rPr>
          <w:rFonts w:cs="Arial"/>
          <w:szCs w:val="20"/>
        </w:rPr>
        <w:t>7.5 Data Quality Assurance</w:t>
      </w:r>
      <w:bookmarkEnd w:id="48"/>
    </w:p>
    <w:p w14:paraId="630D3279" w14:textId="77777777" w:rsidR="003562FC" w:rsidRDefault="00000000" w:rsidP="003562FC">
      <w:r w:rsidRPr="0009119E">
        <w:t>Data collection is the responsibility of the study staff at NYULH under the supervision of the site PI. The principal investigator is responsible for ensuring the accuracy, completeness, legibility, and timeliness of the data reported.</w:t>
      </w:r>
    </w:p>
    <w:p w14:paraId="0C5629FF" w14:textId="77777777" w:rsidR="003562FC" w:rsidRPr="0009119E" w:rsidRDefault="003562FC" w:rsidP="003562FC"/>
    <w:p w14:paraId="6095CD8A" w14:textId="77777777" w:rsidR="003562FC" w:rsidRPr="0009119E" w:rsidRDefault="00000000" w:rsidP="003562FC">
      <w:r w:rsidRPr="0009119E">
        <w:rPr>
          <w:b/>
          <w:bCs/>
        </w:rPr>
        <w:t>Data Collection Tools — Mobile Health Technology</w:t>
      </w:r>
    </w:p>
    <w:p w14:paraId="6DFAFFEC" w14:textId="77777777" w:rsidR="003562FC" w:rsidRPr="0009119E" w:rsidRDefault="00000000" w:rsidP="003562FC">
      <w:r w:rsidRPr="0009119E">
        <w:rPr>
          <w:u w:val="single"/>
        </w:rPr>
        <w:t>Products and Devices</w:t>
      </w:r>
    </w:p>
    <w:p w14:paraId="5138E3F0" w14:textId="77777777" w:rsidR="003562FC" w:rsidRDefault="00000000" w:rsidP="003562FC">
      <w:r w:rsidRPr="0009119E">
        <w:t xml:space="preserve">The commercial product(s) made by Abbott (CGM) and </w:t>
      </w:r>
      <w:r w:rsidR="009A00A2">
        <w:t>Ametris</w:t>
      </w:r>
      <w:r w:rsidR="009A00A2" w:rsidRPr="0009119E">
        <w:t xml:space="preserve"> </w:t>
      </w:r>
      <w:r w:rsidRPr="0009119E">
        <w:t xml:space="preserve">(actigraphy monitor) collects biometric data. This data is not visible to the participants. Abbott and </w:t>
      </w:r>
      <w:r w:rsidR="009A00A2">
        <w:t>Ametris</w:t>
      </w:r>
      <w:r w:rsidR="009A00A2" w:rsidRPr="0009119E">
        <w:t xml:space="preserve"> </w:t>
      </w:r>
      <w:r w:rsidRPr="0009119E">
        <w:t>would not be able to identify the participant's data. These devices will be used in accord with the Terms of Service and/or the End User License Agreements (EULA) provided by the product or device vendor. These products and devices will only be used to collect study data with IRB approval and if the participant has agreed to all applicable Terms of Service.</w:t>
      </w:r>
    </w:p>
    <w:p w14:paraId="0E8D5AE9" w14:textId="77777777" w:rsidR="003562FC" w:rsidRPr="0009119E" w:rsidRDefault="003562FC" w:rsidP="003562FC"/>
    <w:p w14:paraId="5FE565A0" w14:textId="77777777" w:rsidR="003562FC" w:rsidRPr="0009119E" w:rsidRDefault="00000000" w:rsidP="003562FC">
      <w:r w:rsidRPr="0009119E">
        <w:rPr>
          <w:u w:val="single"/>
        </w:rPr>
        <w:t>Risks of use of mobile health technology</w:t>
      </w:r>
    </w:p>
    <w:p w14:paraId="7E7881D0" w14:textId="77777777" w:rsidR="003562FC" w:rsidRDefault="00000000" w:rsidP="003562FC">
      <w:r w:rsidRPr="0009119E">
        <w:t>These devices made by third party companies will be used to collect study data. These devices will be used in accordance with the Terms of Service (TOS) and/or the End User License Agreements (EULA) provided by the device vendor. Use of such products and devices may result in loss of privacy and risk of breach of confidentiality. These products and devices will only be used to collect study data with IRB approval and if the participant has agreed to all applicable Terms of Service and EULAs. The participant will be advised to read the full EULA or TOS before agreeing to use the product. Any risks associated are outlined in the informed consent.</w:t>
      </w:r>
    </w:p>
    <w:p w14:paraId="70190ED5" w14:textId="77777777" w:rsidR="003562FC" w:rsidRPr="0009119E" w:rsidRDefault="003562FC" w:rsidP="003562FC"/>
    <w:p w14:paraId="0C5AEE67" w14:textId="77777777" w:rsidR="003562FC" w:rsidRDefault="00000000" w:rsidP="003562FC">
      <w:r w:rsidRPr="0009119E">
        <w:t>All study team members will be appropriately trained to administer this study. Staff responsible for conducting informed consent and assisting participants with the application and removal of the digital devices will be appropriately trained. The principal investigator is a trained data scientist who has the required skills in machine learning techniques and artificial intelligence to successfully carry out the execution and analysis of this project.</w:t>
      </w:r>
    </w:p>
    <w:p w14:paraId="1778A3FC" w14:textId="77777777" w:rsidR="003562FC" w:rsidRPr="0009119E" w:rsidRDefault="003562FC" w:rsidP="003562FC"/>
    <w:p w14:paraId="0A37C7BA" w14:textId="77777777" w:rsidR="003562FC" w:rsidRPr="0009119E" w:rsidRDefault="00000000" w:rsidP="003562FC">
      <w:pPr>
        <w:pStyle w:val="Heading2"/>
        <w:spacing w:before="0" w:after="0"/>
        <w:rPr>
          <w:rFonts w:cs="Arial"/>
          <w:szCs w:val="20"/>
        </w:rPr>
      </w:pPr>
      <w:bookmarkStart w:id="49" w:name="_Toc49"/>
      <w:r w:rsidRPr="0009119E">
        <w:rPr>
          <w:rFonts w:cs="Arial"/>
          <w:szCs w:val="20"/>
        </w:rPr>
        <w:t>7.6 Study Records</w:t>
      </w:r>
      <w:bookmarkEnd w:id="49"/>
    </w:p>
    <w:p w14:paraId="18F5E17F" w14:textId="77777777" w:rsidR="003562FC" w:rsidRDefault="00000000" w:rsidP="003562FC">
      <w:r w:rsidRPr="0009119E">
        <w:t xml:space="preserve">This study will utilize REDCap to retain study records. REDCap will only be accessible to IRB-approved members of the study team. The principal investigator will keep a record of any written informed consents in a locked cabinet in a locked office, and all </w:t>
      </w:r>
      <w:r>
        <w:t xml:space="preserve">signed </w:t>
      </w:r>
      <w:r w:rsidRPr="0009119E">
        <w:t>consent</w:t>
      </w:r>
      <w:r>
        <w:t xml:space="preserve"> form</w:t>
      </w:r>
      <w:r w:rsidRPr="0009119E">
        <w:t>s will be stored securely in REDCap. Information with patient names and protected identifiers will not be used in any publications resulting from this investigation.</w:t>
      </w:r>
    </w:p>
    <w:p w14:paraId="2BD87E15" w14:textId="77777777" w:rsidR="003562FC" w:rsidRPr="0009119E" w:rsidRDefault="003562FC" w:rsidP="003562FC"/>
    <w:p w14:paraId="2B69C745" w14:textId="77777777" w:rsidR="003562FC" w:rsidRPr="0009119E" w:rsidRDefault="00000000" w:rsidP="003562FC">
      <w:pPr>
        <w:pStyle w:val="Heading2"/>
        <w:spacing w:before="0" w:after="0"/>
        <w:rPr>
          <w:rFonts w:cs="Arial"/>
          <w:szCs w:val="20"/>
        </w:rPr>
      </w:pPr>
      <w:bookmarkStart w:id="50" w:name="_Toc50"/>
      <w:r w:rsidRPr="0009119E">
        <w:rPr>
          <w:rFonts w:cs="Arial"/>
          <w:szCs w:val="20"/>
        </w:rPr>
        <w:lastRenderedPageBreak/>
        <w:t>7.7 Access to Source</w:t>
      </w:r>
      <w:bookmarkEnd w:id="50"/>
    </w:p>
    <w:p w14:paraId="140E5B2A" w14:textId="77777777" w:rsidR="003562FC" w:rsidRDefault="00000000" w:rsidP="003562FC">
      <w:r w:rsidRPr="0009119E">
        <w:t>Any identifiable patient information or protected health information (PHI) will not be shared with people outside of IRB approved members of the study team.</w:t>
      </w:r>
      <w:r>
        <w:t xml:space="preserve"> </w:t>
      </w:r>
      <w:r w:rsidRPr="00C775F5">
        <w:t xml:space="preserve">De-identified data generated through this study may be shared with </w:t>
      </w:r>
      <w:r w:rsidR="00E86450">
        <w:t>1)</w:t>
      </w:r>
      <w:r w:rsidRPr="00C775F5">
        <w:t xml:space="preserve"> NYU Langone Health researchers </w:t>
      </w:r>
      <w:r w:rsidR="00E86450">
        <w:t>and 2)</w:t>
      </w:r>
      <w:r w:rsidRPr="00C775F5">
        <w:t xml:space="preserve"> other researchers outside of NYU Langone Health who obtain a fully executed data use agreement.</w:t>
      </w:r>
    </w:p>
    <w:p w14:paraId="05CC1D79" w14:textId="77777777" w:rsidR="003562FC" w:rsidRPr="0009119E" w:rsidRDefault="003562FC" w:rsidP="003562FC"/>
    <w:p w14:paraId="02935BD0" w14:textId="77777777" w:rsidR="003562FC" w:rsidRPr="0009119E" w:rsidRDefault="00000000" w:rsidP="003562FC">
      <w:pPr>
        <w:pStyle w:val="Heading2"/>
        <w:spacing w:before="0" w:after="0"/>
        <w:rPr>
          <w:rFonts w:cs="Arial"/>
          <w:szCs w:val="20"/>
        </w:rPr>
      </w:pPr>
      <w:bookmarkStart w:id="51" w:name="_Toc51"/>
      <w:r w:rsidRPr="0009119E">
        <w:rPr>
          <w:rFonts w:cs="Arial"/>
          <w:szCs w:val="20"/>
        </w:rPr>
        <w:t>7.8 Data or Specimen Storage/Security</w:t>
      </w:r>
      <w:bookmarkEnd w:id="51"/>
    </w:p>
    <w:p w14:paraId="6A35FE85" w14:textId="77777777" w:rsidR="003562FC" w:rsidRDefault="00000000" w:rsidP="003562FC">
      <w:r w:rsidRPr="0009119E">
        <w:t xml:space="preserve">To ensure data confidentiality on the digital devices, data will not be visible on the device itself (i.e. it will be blinded). The wearable devices used in this study are commercially available, used as marketed and data is collected onto the device. Study staff will register the devices to participants in the vendor applications using a unique ID and DOB that only indicates year of birth (i.e. always 1/1/1990, for a patient born in 1990), so there is no PHI in the vendor application. Vendors do not have access to any identifiable patient information or PHI. The link to unique ID and patient information will be kept in a secured REDCap project that is only accessible to IRB approved members of the study team. When devices are received, data will be uploaded to the vendor's application and then downloaded as files for analysis by the study team. These files will only be kept on an MCIT issued secured shared drive with restricted access to the study team. For food log images sent by participants via </w:t>
      </w:r>
      <w:r w:rsidR="003276AB">
        <w:t>email</w:t>
      </w:r>
      <w:r w:rsidRPr="0009119E">
        <w:t xml:space="preserve">, image files will be downloaded from the study team </w:t>
      </w:r>
      <w:r w:rsidR="00F30AA9">
        <w:t>email</w:t>
      </w:r>
      <w:r w:rsidRPr="0009119E">
        <w:t xml:space="preserve"> directly to the shared drive. All food log </w:t>
      </w:r>
      <w:r w:rsidR="00F30AA9">
        <w:t>emails</w:t>
      </w:r>
      <w:r w:rsidRPr="0009119E">
        <w:t xml:space="preserve"> will be deleted from the study team </w:t>
      </w:r>
      <w:r w:rsidR="00F30AA9">
        <w:t>email account</w:t>
      </w:r>
      <w:r w:rsidRPr="0009119E">
        <w:t>.</w:t>
      </w:r>
    </w:p>
    <w:p w14:paraId="34722ADB" w14:textId="77777777" w:rsidR="004B3A1E" w:rsidRPr="0009119E" w:rsidRDefault="004B3A1E" w:rsidP="003562FC"/>
    <w:p w14:paraId="1AE2EBAD" w14:textId="77777777" w:rsidR="003562FC" w:rsidRPr="0009119E" w:rsidRDefault="00000000" w:rsidP="003562FC">
      <w:pPr>
        <w:pStyle w:val="Heading2"/>
        <w:spacing w:before="0" w:after="0"/>
        <w:rPr>
          <w:rFonts w:cs="Arial"/>
          <w:szCs w:val="20"/>
        </w:rPr>
      </w:pPr>
      <w:bookmarkStart w:id="52" w:name="_Toc52"/>
      <w:r w:rsidRPr="0009119E">
        <w:rPr>
          <w:rFonts w:cs="Arial"/>
          <w:szCs w:val="20"/>
        </w:rPr>
        <w:t>7.9 Retention of Records</w:t>
      </w:r>
      <w:bookmarkEnd w:id="52"/>
    </w:p>
    <w:p w14:paraId="0E7816B4" w14:textId="77777777" w:rsidR="003562FC" w:rsidRPr="0009119E" w:rsidRDefault="00000000" w:rsidP="003562FC">
      <w:pPr>
        <w:pStyle w:val="Heading2"/>
        <w:spacing w:before="0" w:after="0"/>
        <w:rPr>
          <w:rFonts w:cs="Arial"/>
          <w:szCs w:val="20"/>
        </w:rPr>
      </w:pPr>
      <w:bookmarkStart w:id="53" w:name="_Toc53"/>
      <w:r w:rsidRPr="0009119E">
        <w:rPr>
          <w:rFonts w:cs="Arial"/>
          <w:szCs w:val="20"/>
        </w:rPr>
        <w:t>7.10 Study Monitoring</w:t>
      </w:r>
      <w:bookmarkEnd w:id="53"/>
    </w:p>
    <w:p w14:paraId="300BBC7A" w14:textId="77777777" w:rsidR="003562FC" w:rsidRDefault="00000000" w:rsidP="003562FC">
      <w:r w:rsidRPr="0009119E">
        <w:t>A study monitor will be assigned by the IRB if needed and will monitor the study according to IRB procedures. Documentation of monitoring visits and feedback will be stored in a secured MCIT issued shared drive folder with access restricted to the study team only.</w:t>
      </w:r>
    </w:p>
    <w:p w14:paraId="4D4A59EE" w14:textId="77777777" w:rsidR="003562FC" w:rsidRDefault="003562FC" w:rsidP="003562FC"/>
    <w:p w14:paraId="3868CF7C" w14:textId="77777777" w:rsidR="003562FC" w:rsidRPr="0009119E" w:rsidRDefault="00000000" w:rsidP="003562FC">
      <w:pPr>
        <w:rPr>
          <w:b/>
          <w:bCs/>
        </w:rPr>
      </w:pPr>
      <w:r w:rsidRPr="0009119E">
        <w:rPr>
          <w:b/>
          <w:bCs/>
        </w:rPr>
        <w:t>Monitoring Plan</w:t>
      </w:r>
    </w:p>
    <w:p w14:paraId="27ECA197" w14:textId="77777777" w:rsidR="003562FC" w:rsidRPr="0009119E" w:rsidRDefault="00000000" w:rsidP="003562FC">
      <w:r w:rsidRPr="0009119E">
        <w:t>The PI is responsible for data safety monitoring reviews, and the study medical monitor, D</w:t>
      </w:r>
      <w:r>
        <w:t>r Penfield</w:t>
      </w:r>
      <w:r w:rsidRPr="0009119E">
        <w:t>, will also be involved in data safety monitoring. This includes conducting systematic and periodic reviews of aggregate data and adverse events. These include:</w:t>
      </w:r>
    </w:p>
    <w:p w14:paraId="3BFFD3A8" w14:textId="77777777" w:rsidR="003562FC" w:rsidRPr="0009119E" w:rsidRDefault="00000000" w:rsidP="003562FC">
      <w:pPr>
        <w:pStyle w:val="ListParagraph"/>
        <w:numPr>
          <w:ilvl w:val="0"/>
          <w:numId w:val="23"/>
        </w:numPr>
        <w:rPr>
          <w:rFonts w:ascii="Arial" w:hAnsi="Arial" w:cs="Arial"/>
          <w:sz w:val="20"/>
          <w:szCs w:val="20"/>
        </w:rPr>
      </w:pPr>
      <w:r w:rsidRPr="0009119E">
        <w:rPr>
          <w:rFonts w:ascii="Arial" w:hAnsi="Arial" w:cs="Arial"/>
          <w:sz w:val="20"/>
          <w:szCs w:val="20"/>
        </w:rPr>
        <w:t xml:space="preserve">Reddening of the skin, swelling, rash, itching, bruising, pain, bleeding or other discomfort that requires medical attention. </w:t>
      </w:r>
    </w:p>
    <w:p w14:paraId="6067978A" w14:textId="77777777" w:rsidR="003562FC" w:rsidRPr="0009119E" w:rsidRDefault="00000000" w:rsidP="003562FC">
      <w:pPr>
        <w:pStyle w:val="ListParagraph"/>
        <w:numPr>
          <w:ilvl w:val="0"/>
          <w:numId w:val="23"/>
        </w:numPr>
        <w:rPr>
          <w:rFonts w:ascii="Arial" w:hAnsi="Arial" w:cs="Arial"/>
          <w:sz w:val="20"/>
          <w:szCs w:val="20"/>
        </w:rPr>
      </w:pPr>
      <w:r w:rsidRPr="0009119E">
        <w:rPr>
          <w:rFonts w:ascii="Arial" w:hAnsi="Arial" w:cs="Arial"/>
          <w:sz w:val="20"/>
          <w:szCs w:val="20"/>
        </w:rPr>
        <w:t xml:space="preserve">Infection, inflammation, or bleeding at the monitor insertion site that requires medical attention. </w:t>
      </w:r>
    </w:p>
    <w:p w14:paraId="012D7C3A" w14:textId="77777777" w:rsidR="003562FC" w:rsidRPr="0009119E" w:rsidRDefault="00000000" w:rsidP="003562FC">
      <w:pPr>
        <w:pStyle w:val="ListParagraph"/>
        <w:numPr>
          <w:ilvl w:val="0"/>
          <w:numId w:val="23"/>
        </w:numPr>
        <w:rPr>
          <w:rFonts w:ascii="Arial" w:hAnsi="Arial" w:cs="Arial"/>
          <w:sz w:val="20"/>
          <w:szCs w:val="20"/>
        </w:rPr>
      </w:pPr>
      <w:r w:rsidRPr="0009119E">
        <w:rPr>
          <w:rFonts w:ascii="Arial" w:hAnsi="Arial" w:cs="Arial"/>
          <w:sz w:val="20"/>
          <w:szCs w:val="20"/>
        </w:rPr>
        <w:t>Treatment beyond over-the-counter treatment.</w:t>
      </w:r>
    </w:p>
    <w:p w14:paraId="4903708C" w14:textId="77777777" w:rsidR="003562FC" w:rsidRPr="0009119E" w:rsidRDefault="00000000" w:rsidP="003562FC">
      <w:pPr>
        <w:pStyle w:val="ListParagraph"/>
        <w:numPr>
          <w:ilvl w:val="0"/>
          <w:numId w:val="23"/>
        </w:numPr>
        <w:rPr>
          <w:rFonts w:ascii="Arial" w:hAnsi="Arial" w:cs="Arial"/>
          <w:sz w:val="20"/>
          <w:szCs w:val="20"/>
        </w:rPr>
      </w:pPr>
      <w:r w:rsidRPr="0009119E">
        <w:rPr>
          <w:rFonts w:ascii="Arial" w:hAnsi="Arial" w:cs="Arial"/>
          <w:sz w:val="20"/>
          <w:szCs w:val="20"/>
        </w:rPr>
        <w:t>Breach of confidentiality of data</w:t>
      </w:r>
    </w:p>
    <w:p w14:paraId="24017C89" w14:textId="77777777" w:rsidR="003562FC" w:rsidRPr="0009119E" w:rsidRDefault="003562FC" w:rsidP="003562FC"/>
    <w:p w14:paraId="68135242" w14:textId="77777777" w:rsidR="003562FC" w:rsidRPr="0009119E" w:rsidRDefault="00000000" w:rsidP="003562FC">
      <w:r w:rsidRPr="0009119E">
        <w:t xml:space="preserve">These data and events will be reviewed annually. There will be no pre-defined rules for stopping the study, as this is an observational study that poses minimal risk to participants. </w:t>
      </w:r>
    </w:p>
    <w:p w14:paraId="48479A8C" w14:textId="77777777" w:rsidR="003562FC" w:rsidRPr="0009119E" w:rsidRDefault="003562FC" w:rsidP="003562FC"/>
    <w:p w14:paraId="7E00CE43" w14:textId="77777777" w:rsidR="003562FC" w:rsidRPr="0009119E" w:rsidRDefault="00000000" w:rsidP="003562FC">
      <w:r w:rsidRPr="0009119E">
        <w:t>A summary of the outcomes of these safety reviews along with accumulated adverse events and deviations will be submitted to the IRB as part of an annual progress report at the time of the Continuing Review submission.</w:t>
      </w:r>
    </w:p>
    <w:p w14:paraId="7FF5E5A2" w14:textId="77777777" w:rsidR="003562FC" w:rsidRPr="0009119E" w:rsidRDefault="003562FC" w:rsidP="003562FC"/>
    <w:p w14:paraId="17777D74" w14:textId="77777777" w:rsidR="003562FC" w:rsidRDefault="00000000" w:rsidP="003562FC">
      <w:r w:rsidRPr="0009119E">
        <w:t>The data from this study will not be used in clinical care, as any data collected from the study will be inconsistent with real time glucose levels.</w:t>
      </w:r>
    </w:p>
    <w:p w14:paraId="5E147985" w14:textId="77777777" w:rsidR="003562FC" w:rsidRPr="0009119E" w:rsidRDefault="003562FC" w:rsidP="003562FC"/>
    <w:p w14:paraId="5286CDDD" w14:textId="77777777" w:rsidR="003562FC" w:rsidRPr="0009119E" w:rsidRDefault="00000000" w:rsidP="003562FC">
      <w:pPr>
        <w:pStyle w:val="Heading2"/>
        <w:spacing w:before="0" w:after="0"/>
        <w:rPr>
          <w:rFonts w:cs="Arial"/>
          <w:szCs w:val="20"/>
        </w:rPr>
      </w:pPr>
      <w:bookmarkStart w:id="54" w:name="_Toc54"/>
      <w:r w:rsidRPr="0009119E">
        <w:rPr>
          <w:rFonts w:cs="Arial"/>
          <w:szCs w:val="20"/>
        </w:rPr>
        <w:t>7.11 Study Modification</w:t>
      </w:r>
      <w:bookmarkEnd w:id="54"/>
    </w:p>
    <w:p w14:paraId="18947C5E" w14:textId="77777777" w:rsidR="003562FC" w:rsidRDefault="00000000" w:rsidP="003562FC">
      <w:r w:rsidRPr="0009119E">
        <w:t>Any modifications to the study, protocol or consent form will seek IRB approval through an IRB amendment.</w:t>
      </w:r>
    </w:p>
    <w:p w14:paraId="1373D6E7" w14:textId="77777777" w:rsidR="003562FC" w:rsidRPr="0009119E" w:rsidRDefault="003562FC" w:rsidP="003562FC"/>
    <w:p w14:paraId="5E080A99" w14:textId="77777777" w:rsidR="003562FC" w:rsidRPr="0009119E" w:rsidRDefault="00000000" w:rsidP="003562FC">
      <w:pPr>
        <w:pStyle w:val="Heading2"/>
        <w:spacing w:before="0" w:after="0"/>
        <w:rPr>
          <w:rFonts w:cs="Arial"/>
          <w:szCs w:val="20"/>
        </w:rPr>
      </w:pPr>
      <w:bookmarkStart w:id="55" w:name="_Toc55"/>
      <w:r w:rsidRPr="0009119E">
        <w:rPr>
          <w:rFonts w:cs="Arial"/>
          <w:szCs w:val="20"/>
        </w:rPr>
        <w:t>7.12 Study Completion</w:t>
      </w:r>
      <w:bookmarkEnd w:id="55"/>
    </w:p>
    <w:p w14:paraId="758B6FA3" w14:textId="77777777" w:rsidR="003562FC" w:rsidRDefault="00000000" w:rsidP="003562FC">
      <w:r w:rsidRPr="0009119E">
        <w:t xml:space="preserve">Enrollment in the study will conclude after 3 years. Data will be retained for analysis indefinitely, unless, at the discretion of the PI, it can be destroyed. </w:t>
      </w:r>
    </w:p>
    <w:p w14:paraId="0146BB2D" w14:textId="77777777" w:rsidR="003562FC" w:rsidRPr="0009119E" w:rsidRDefault="003562FC" w:rsidP="003562FC"/>
    <w:p w14:paraId="118763AD" w14:textId="77777777" w:rsidR="003562FC" w:rsidRPr="0009119E" w:rsidRDefault="00000000" w:rsidP="003562FC">
      <w:pPr>
        <w:pStyle w:val="Heading2"/>
        <w:spacing w:before="0" w:after="0"/>
        <w:rPr>
          <w:rFonts w:cs="Arial"/>
          <w:szCs w:val="20"/>
        </w:rPr>
      </w:pPr>
      <w:bookmarkStart w:id="56" w:name="_Toc56"/>
      <w:r w:rsidRPr="0009119E">
        <w:rPr>
          <w:rFonts w:cs="Arial"/>
          <w:szCs w:val="20"/>
        </w:rPr>
        <w:t>7.13 Funding Source</w:t>
      </w:r>
      <w:bookmarkEnd w:id="56"/>
    </w:p>
    <w:p w14:paraId="12078B6A" w14:textId="77777777" w:rsidR="003562FC" w:rsidRDefault="00000000" w:rsidP="003562FC">
      <w:r w:rsidRPr="0009119E">
        <w:t>This research is supported by the American Heart Association Second Century Early Faculty Independence Award (Grant #:24SCEFIA1252353, Crossref DOI:</w:t>
      </w:r>
      <w:r>
        <w:t xml:space="preserve"> </w:t>
      </w:r>
      <w:r w:rsidRPr="0009119E">
        <w:t>https://doi.org/10.58275/AHA.24SCEFIA1252353.pc.gr.193942) for PI Dr. Souptik Barua.</w:t>
      </w:r>
    </w:p>
    <w:p w14:paraId="467C1CE3" w14:textId="77777777" w:rsidR="003562FC" w:rsidRPr="0009119E" w:rsidRDefault="003562FC" w:rsidP="003562FC"/>
    <w:p w14:paraId="226D1B94" w14:textId="77777777" w:rsidR="003562FC" w:rsidRPr="0009119E" w:rsidRDefault="00000000" w:rsidP="003562FC">
      <w:pPr>
        <w:pStyle w:val="Heading2"/>
        <w:spacing w:before="0" w:after="0"/>
        <w:rPr>
          <w:rFonts w:cs="Arial"/>
          <w:szCs w:val="20"/>
        </w:rPr>
      </w:pPr>
      <w:bookmarkStart w:id="57" w:name="_Toc57"/>
      <w:r w:rsidRPr="0009119E">
        <w:rPr>
          <w:rFonts w:cs="Arial"/>
          <w:szCs w:val="20"/>
        </w:rPr>
        <w:lastRenderedPageBreak/>
        <w:t>7.14 Conflict of Interest Policy</w:t>
      </w:r>
      <w:bookmarkEnd w:id="57"/>
    </w:p>
    <w:p w14:paraId="4EC7B629" w14:textId="77777777" w:rsidR="003562FC" w:rsidRDefault="00000000" w:rsidP="003562FC">
      <w:r w:rsidRPr="0009119E">
        <w:t>All members of the study will complete their COI disclosure forms.</w:t>
      </w:r>
    </w:p>
    <w:p w14:paraId="5EA421FA" w14:textId="77777777" w:rsidR="003562FC" w:rsidRPr="0009119E" w:rsidRDefault="003562FC" w:rsidP="003562FC"/>
    <w:p w14:paraId="59B860EA" w14:textId="77777777" w:rsidR="003562FC" w:rsidRPr="0009119E" w:rsidRDefault="00000000" w:rsidP="003562FC">
      <w:pPr>
        <w:pStyle w:val="Heading2"/>
        <w:spacing w:before="0" w:after="0"/>
        <w:rPr>
          <w:rFonts w:cs="Arial"/>
          <w:szCs w:val="20"/>
        </w:rPr>
      </w:pPr>
      <w:bookmarkStart w:id="58" w:name="_Toc58"/>
      <w:r w:rsidRPr="0009119E">
        <w:rPr>
          <w:rFonts w:cs="Arial"/>
          <w:szCs w:val="20"/>
        </w:rPr>
        <w:t>7.15 Publication Plan</w:t>
      </w:r>
      <w:bookmarkEnd w:id="58"/>
    </w:p>
    <w:p w14:paraId="116ADCD5" w14:textId="77777777" w:rsidR="003562FC" w:rsidRPr="0009119E" w:rsidRDefault="00000000" w:rsidP="003562FC">
      <w:r w:rsidRPr="0009119E">
        <w:t>Any publications arising from this work are at the discretion of the principal investigator. No identifiable information will be included in any publications arising from this project.</w:t>
      </w:r>
    </w:p>
    <w:p w14:paraId="4BA69977" w14:textId="77777777" w:rsidR="003562FC" w:rsidRPr="0009119E" w:rsidRDefault="003562FC" w:rsidP="003562FC"/>
    <w:p w14:paraId="515A4C03" w14:textId="77777777" w:rsidR="003562FC" w:rsidRPr="0009119E" w:rsidRDefault="00000000" w:rsidP="003562FC">
      <w:pPr>
        <w:rPr>
          <w:b/>
        </w:rPr>
      </w:pPr>
      <w:r w:rsidRPr="0009119E">
        <w:rPr>
          <w:b/>
        </w:rPr>
        <w:t>REFERENCES</w:t>
      </w:r>
    </w:p>
    <w:p w14:paraId="1022EA81" w14:textId="77777777" w:rsidR="003562FC" w:rsidRPr="0009119E" w:rsidRDefault="00000000" w:rsidP="003562FC">
      <w:pPr>
        <w:pStyle w:val="Bibliography"/>
        <w:tabs>
          <w:tab w:val="clear" w:pos="264"/>
        </w:tabs>
        <w:ind w:left="720" w:hanging="360"/>
      </w:pPr>
      <w:r w:rsidRPr="0009119E">
        <w:fldChar w:fldCharType="begin"/>
      </w:r>
      <w:r w:rsidRPr="0009119E">
        <w:instrText xml:space="preserve"> ADDIN ZOTERO_BIBL {"uncited":[],"omitted":[],"custom":[]} CSL_BIBLIOGRAPHY </w:instrText>
      </w:r>
      <w:r w:rsidRPr="0009119E">
        <w:fldChar w:fldCharType="separate"/>
      </w:r>
      <w:r w:rsidRPr="0009119E">
        <w:t>1</w:t>
      </w:r>
      <w:r w:rsidRPr="0009119E">
        <w:tab/>
        <w:t xml:space="preserve">Ford ND. Hypertensive Disorders in Pregnancy and Mortality at Delivery Hospitalization — United States, 2017–2019. </w:t>
      </w:r>
      <w:r w:rsidRPr="0009119E">
        <w:rPr>
          <w:i/>
          <w:iCs/>
        </w:rPr>
        <w:t>MMWR Morb Mortal Wkly Rep</w:t>
      </w:r>
      <w:r w:rsidRPr="0009119E">
        <w:t xml:space="preserve"> 2022;</w:t>
      </w:r>
      <w:r w:rsidRPr="0009119E">
        <w:rPr>
          <w:b/>
          <w:bCs/>
        </w:rPr>
        <w:t>71</w:t>
      </w:r>
      <w:r w:rsidRPr="0009119E">
        <w:t>:. https://doi.org/10.15585/mmwr.mm7117a1.</w:t>
      </w:r>
    </w:p>
    <w:p w14:paraId="268B216B" w14:textId="77777777" w:rsidR="003562FC" w:rsidRPr="0009119E" w:rsidRDefault="00000000" w:rsidP="003562FC">
      <w:pPr>
        <w:pStyle w:val="Bibliography"/>
        <w:tabs>
          <w:tab w:val="clear" w:pos="264"/>
        </w:tabs>
        <w:ind w:left="720" w:hanging="360"/>
      </w:pPr>
      <w:r w:rsidRPr="0009119E">
        <w:t>2</w:t>
      </w:r>
      <w:r w:rsidRPr="0009119E">
        <w:tab/>
        <w:t xml:space="preserve">Gregory C.W. E, Danielle M. E. </w:t>
      </w:r>
      <w:r w:rsidRPr="0009119E">
        <w:rPr>
          <w:i/>
          <w:iCs/>
        </w:rPr>
        <w:t>Trends and Characteristics in Gestational Diabetes: United States, 2016–2020</w:t>
      </w:r>
      <w:r w:rsidRPr="0009119E">
        <w:t>. National Center for Health Statistics (U.S.); 2022.</w:t>
      </w:r>
    </w:p>
    <w:p w14:paraId="428DD572" w14:textId="77777777" w:rsidR="003562FC" w:rsidRPr="0009119E" w:rsidRDefault="00000000" w:rsidP="003562FC">
      <w:pPr>
        <w:pStyle w:val="Bibliography"/>
        <w:tabs>
          <w:tab w:val="clear" w:pos="264"/>
        </w:tabs>
        <w:ind w:left="720" w:hanging="360"/>
      </w:pPr>
      <w:r w:rsidRPr="0009119E">
        <w:t>3</w:t>
      </w:r>
      <w:r w:rsidRPr="0009119E">
        <w:tab/>
        <w:t xml:space="preserve">Honigberg MC, Zekavat SM, Aragam K, Klarin D, Bhatt DL, Scott NS, </w:t>
      </w:r>
      <w:r w:rsidRPr="0009119E">
        <w:rPr>
          <w:i/>
          <w:iCs/>
        </w:rPr>
        <w:t>et al.</w:t>
      </w:r>
      <w:r w:rsidRPr="0009119E">
        <w:t xml:space="preserve"> Long-Term Cardiovascular Risk in Women with Hypertension during Pregnancy. </w:t>
      </w:r>
      <w:r w:rsidRPr="0009119E">
        <w:rPr>
          <w:i/>
          <w:iCs/>
        </w:rPr>
        <w:t>J Am Coll Cardiol</w:t>
      </w:r>
      <w:r w:rsidRPr="0009119E">
        <w:t xml:space="preserve"> 2019;</w:t>
      </w:r>
      <w:r w:rsidRPr="0009119E">
        <w:rPr>
          <w:b/>
          <w:bCs/>
        </w:rPr>
        <w:t>74</w:t>
      </w:r>
      <w:r w:rsidRPr="0009119E">
        <w:t>:2743–54. https://doi.org/10.1016/j.jacc.2019.09.052.</w:t>
      </w:r>
    </w:p>
    <w:p w14:paraId="56424C81" w14:textId="77777777" w:rsidR="003562FC" w:rsidRPr="0009119E" w:rsidRDefault="00000000" w:rsidP="003562FC">
      <w:pPr>
        <w:pStyle w:val="Bibliography"/>
        <w:tabs>
          <w:tab w:val="clear" w:pos="264"/>
        </w:tabs>
        <w:ind w:left="720" w:hanging="360"/>
      </w:pPr>
      <w:r w:rsidRPr="0009119E">
        <w:t>4</w:t>
      </w:r>
      <w:r w:rsidRPr="0009119E">
        <w:tab/>
        <w:t xml:space="preserve">Alsnes IV, Vatten LJ, Fraser A, Bjørngaard JH, Rich-Edwards J, Romundstad PR, </w:t>
      </w:r>
      <w:r w:rsidRPr="0009119E">
        <w:rPr>
          <w:i/>
          <w:iCs/>
        </w:rPr>
        <w:t>et al.</w:t>
      </w:r>
      <w:r w:rsidRPr="0009119E">
        <w:t xml:space="preserve"> Hypertension in Pregnancy and Offspring Cardiovascular Risk in Young Adulthood. </w:t>
      </w:r>
      <w:r w:rsidRPr="0009119E">
        <w:rPr>
          <w:i/>
          <w:iCs/>
        </w:rPr>
        <w:t>Hypertension</w:t>
      </w:r>
      <w:r w:rsidRPr="0009119E">
        <w:t xml:space="preserve"> 2017;</w:t>
      </w:r>
      <w:r w:rsidRPr="0009119E">
        <w:rPr>
          <w:b/>
          <w:bCs/>
        </w:rPr>
        <w:t>69</w:t>
      </w:r>
      <w:r w:rsidRPr="0009119E">
        <w:t>:591–8. https://doi.org/10.1161/HYPERTENSIONAHA.116.08414.</w:t>
      </w:r>
    </w:p>
    <w:p w14:paraId="487DE5C0" w14:textId="77777777" w:rsidR="003562FC" w:rsidRPr="0009119E" w:rsidRDefault="00000000" w:rsidP="003562FC">
      <w:pPr>
        <w:pStyle w:val="Bibliography"/>
        <w:tabs>
          <w:tab w:val="clear" w:pos="264"/>
        </w:tabs>
        <w:ind w:left="720" w:hanging="360"/>
      </w:pPr>
      <w:r w:rsidRPr="0009119E">
        <w:t>5</w:t>
      </w:r>
      <w:r w:rsidRPr="0009119E">
        <w:tab/>
        <w:t xml:space="preserve">Damm P, Houshmand-Oeregaard A, Kelstrup L, Lauenborg J, Mathiesen ER, Clausen TD. Gestational diabetes mellitus and long-term consequences for mother and offspring: a view from Denmark. </w:t>
      </w:r>
      <w:r w:rsidRPr="0009119E">
        <w:rPr>
          <w:i/>
          <w:iCs/>
        </w:rPr>
        <w:t>Diabetologia</w:t>
      </w:r>
      <w:r w:rsidRPr="0009119E">
        <w:t xml:space="preserve"> 2016;</w:t>
      </w:r>
      <w:r w:rsidRPr="0009119E">
        <w:rPr>
          <w:b/>
          <w:bCs/>
        </w:rPr>
        <w:t>59</w:t>
      </w:r>
      <w:r w:rsidRPr="0009119E">
        <w:t>:1396–9. https://doi.org/10.1007/s00125-016-3985-5.</w:t>
      </w:r>
    </w:p>
    <w:p w14:paraId="20E3DE61" w14:textId="77777777" w:rsidR="003562FC" w:rsidRPr="0009119E" w:rsidRDefault="00000000" w:rsidP="003562FC">
      <w:pPr>
        <w:pStyle w:val="Bibliography"/>
        <w:tabs>
          <w:tab w:val="clear" w:pos="264"/>
        </w:tabs>
        <w:ind w:left="720" w:hanging="360"/>
      </w:pPr>
      <w:r w:rsidRPr="0009119E">
        <w:t>6</w:t>
      </w:r>
      <w:r w:rsidRPr="0009119E">
        <w:tab/>
        <w:t xml:space="preserve">Catalano PM, Kirwan JP, Haugel-de Mouzon S, King J. Gestational Diabetes and Insulin Resistance: Role in Short- and Long-Term Implications for Mother and Fetus. </w:t>
      </w:r>
      <w:r w:rsidRPr="0009119E">
        <w:rPr>
          <w:i/>
          <w:iCs/>
        </w:rPr>
        <w:t>The Journal of Nutrition</w:t>
      </w:r>
      <w:r w:rsidRPr="0009119E">
        <w:t xml:space="preserve"> 2003;</w:t>
      </w:r>
      <w:r w:rsidRPr="0009119E">
        <w:rPr>
          <w:b/>
          <w:bCs/>
        </w:rPr>
        <w:t>133</w:t>
      </w:r>
      <w:r w:rsidRPr="0009119E">
        <w:t>:1674S-1683S. https://doi.org/10.1093/jn/133.5.1674S.</w:t>
      </w:r>
    </w:p>
    <w:p w14:paraId="60D6EABB" w14:textId="77777777" w:rsidR="003562FC" w:rsidRPr="0009119E" w:rsidRDefault="00000000" w:rsidP="003562FC">
      <w:pPr>
        <w:pStyle w:val="Bibliography"/>
        <w:tabs>
          <w:tab w:val="clear" w:pos="264"/>
        </w:tabs>
        <w:ind w:left="720" w:hanging="360"/>
      </w:pPr>
      <w:r w:rsidRPr="0009119E">
        <w:t>7</w:t>
      </w:r>
      <w:r w:rsidRPr="0009119E">
        <w:tab/>
        <w:t xml:space="preserve">Croke L. Gestational Hypertension and Preeclampsia: A Practice Bulletin from ACOG. </w:t>
      </w:r>
      <w:r w:rsidRPr="0009119E">
        <w:rPr>
          <w:i/>
          <w:iCs/>
        </w:rPr>
        <w:t>Afp</w:t>
      </w:r>
      <w:r w:rsidRPr="0009119E">
        <w:t xml:space="preserve"> 2019;</w:t>
      </w:r>
      <w:r w:rsidRPr="0009119E">
        <w:rPr>
          <w:b/>
          <w:bCs/>
        </w:rPr>
        <w:t>100</w:t>
      </w:r>
      <w:r w:rsidRPr="0009119E">
        <w:t>:649–50.</w:t>
      </w:r>
    </w:p>
    <w:p w14:paraId="2FF7EA51" w14:textId="77777777" w:rsidR="003562FC" w:rsidRPr="0009119E" w:rsidRDefault="00000000" w:rsidP="003562FC">
      <w:pPr>
        <w:pStyle w:val="Bibliography"/>
        <w:tabs>
          <w:tab w:val="clear" w:pos="264"/>
        </w:tabs>
        <w:ind w:left="720" w:hanging="360"/>
      </w:pPr>
      <w:r w:rsidRPr="0009119E">
        <w:t>8</w:t>
      </w:r>
      <w:r w:rsidRPr="0009119E">
        <w:tab/>
        <w:t xml:space="preserve">Caughey AB, Turrentine M. ACOG PRACTICE BULLETIN: Gestational Diabetes Mellitus. </w:t>
      </w:r>
      <w:r w:rsidRPr="0009119E">
        <w:rPr>
          <w:i/>
          <w:iCs/>
        </w:rPr>
        <w:t>Obstetrics and Gynecology</w:t>
      </w:r>
      <w:r w:rsidRPr="0009119E">
        <w:t xml:space="preserve"> 2018;</w:t>
      </w:r>
      <w:r w:rsidRPr="0009119E">
        <w:rPr>
          <w:b/>
          <w:bCs/>
        </w:rPr>
        <w:t>131</w:t>
      </w:r>
      <w:r w:rsidRPr="0009119E">
        <w:t>:E49–64. https://doi.org/10.1097/AOG.0000000000002501.</w:t>
      </w:r>
    </w:p>
    <w:p w14:paraId="54E4EBDC" w14:textId="77777777" w:rsidR="003562FC" w:rsidRPr="0009119E" w:rsidRDefault="00000000" w:rsidP="003562FC">
      <w:pPr>
        <w:pStyle w:val="Bibliography"/>
        <w:tabs>
          <w:tab w:val="clear" w:pos="264"/>
        </w:tabs>
        <w:ind w:left="720" w:hanging="360"/>
      </w:pPr>
      <w:r w:rsidRPr="0009119E">
        <w:t>9</w:t>
      </w:r>
      <w:r w:rsidRPr="0009119E">
        <w:tab/>
        <w:t xml:space="preserve">Yu F, Lv L, Liang Z, Wang Y, Wen J, Lin X, </w:t>
      </w:r>
      <w:r w:rsidRPr="0009119E">
        <w:rPr>
          <w:i/>
          <w:iCs/>
        </w:rPr>
        <w:t>et al.</w:t>
      </w:r>
      <w:r w:rsidRPr="0009119E">
        <w:t xml:space="preserve"> Continuous Glucose Monitoring Effects on Maternal Glycemic Control and Pregnancy Outcomes in Patients With Gestational Diabetes Mellitus: A Prospective Cohort Study. </w:t>
      </w:r>
      <w:r w:rsidRPr="0009119E">
        <w:rPr>
          <w:i/>
          <w:iCs/>
        </w:rPr>
        <w:t>The Journal of Clinical Endocrinology &amp; Metabolism</w:t>
      </w:r>
      <w:r w:rsidRPr="0009119E">
        <w:t xml:space="preserve"> 2014;</w:t>
      </w:r>
      <w:r w:rsidRPr="0009119E">
        <w:rPr>
          <w:b/>
          <w:bCs/>
        </w:rPr>
        <w:t>99</w:t>
      </w:r>
      <w:r w:rsidRPr="0009119E">
        <w:t>:4674–82. https://doi.org/10.1210/jc.2013-4332.</w:t>
      </w:r>
    </w:p>
    <w:p w14:paraId="6D3926DE" w14:textId="77777777" w:rsidR="003562FC" w:rsidRPr="003D3DE8" w:rsidRDefault="00000000" w:rsidP="003562FC">
      <w:pPr>
        <w:pStyle w:val="Bibliography"/>
        <w:tabs>
          <w:tab w:val="clear" w:pos="264"/>
        </w:tabs>
        <w:ind w:left="720" w:hanging="360"/>
        <w:rPr>
          <w:lang w:val="es-AR"/>
        </w:rPr>
      </w:pPr>
      <w:r w:rsidRPr="003D3DE8">
        <w:rPr>
          <w:lang w:val="es-AR"/>
        </w:rPr>
        <w:t>10</w:t>
      </w:r>
      <w:r w:rsidRPr="003D3DE8">
        <w:rPr>
          <w:lang w:val="es-AR"/>
        </w:rPr>
        <w:tab/>
        <w:t xml:space="preserve">García-Moreno RM, Benítez-Valderrama P, Barquiel B, González Pérez-de-Villar N, Hillman N, Lora Pablos D, </w:t>
      </w:r>
      <w:r w:rsidRPr="003D3DE8">
        <w:rPr>
          <w:i/>
          <w:iCs/>
          <w:lang w:val="es-AR"/>
        </w:rPr>
        <w:t>et al.</w:t>
      </w:r>
      <w:r w:rsidRPr="003D3DE8">
        <w:rPr>
          <w:lang w:val="es-AR"/>
        </w:rPr>
        <w:t xml:space="preserve"> </w:t>
      </w:r>
      <w:r w:rsidRPr="0009119E">
        <w:t xml:space="preserve">Efficacy of continuous glucose monitoring on maternal and neonatal outcomes in gestational diabetes mellitus: a systematic review and meta-analysis of randomized clinical trials. </w:t>
      </w:r>
      <w:r w:rsidRPr="003D3DE8">
        <w:rPr>
          <w:i/>
          <w:iCs/>
          <w:lang w:val="es-AR"/>
        </w:rPr>
        <w:t>Diabetic Medicine</w:t>
      </w:r>
      <w:r w:rsidRPr="003D3DE8">
        <w:rPr>
          <w:lang w:val="es-AR"/>
        </w:rPr>
        <w:t xml:space="preserve"> 2022;</w:t>
      </w:r>
      <w:r w:rsidRPr="003D3DE8">
        <w:rPr>
          <w:b/>
          <w:bCs/>
          <w:lang w:val="es-AR"/>
        </w:rPr>
        <w:t>39</w:t>
      </w:r>
      <w:r w:rsidRPr="003D3DE8">
        <w:rPr>
          <w:lang w:val="es-AR"/>
        </w:rPr>
        <w:t>:e14703. https://doi.org/10.1111/dme.14703.</w:t>
      </w:r>
    </w:p>
    <w:p w14:paraId="44950B95" w14:textId="77777777" w:rsidR="003562FC" w:rsidRPr="0009119E" w:rsidRDefault="00000000" w:rsidP="003562FC">
      <w:pPr>
        <w:pStyle w:val="Bibliography"/>
        <w:tabs>
          <w:tab w:val="clear" w:pos="264"/>
        </w:tabs>
        <w:ind w:left="720" w:hanging="360"/>
      </w:pPr>
      <w:r w:rsidRPr="003D3DE8">
        <w:rPr>
          <w:lang w:val="es-AR"/>
        </w:rPr>
        <w:t>11</w:t>
      </w:r>
      <w:r w:rsidRPr="003D3DE8">
        <w:rPr>
          <w:lang w:val="es-AR"/>
        </w:rPr>
        <w:tab/>
        <w:t xml:space="preserve">Müller W de A, Mielke GI, Silva ICM da, Silveira MF, Domingues MR. </w:t>
      </w:r>
      <w:r w:rsidRPr="0009119E">
        <w:t xml:space="preserve">Physical Activity During Pregnancy and Preterm Birth: Findings From the 2015 Pelotas (Brazil) Birth Cohort Study. </w:t>
      </w:r>
      <w:r w:rsidRPr="0009119E">
        <w:rPr>
          <w:i/>
          <w:iCs/>
        </w:rPr>
        <w:t>Journal of Physical Activity and Health</w:t>
      </w:r>
      <w:r w:rsidRPr="0009119E">
        <w:t xml:space="preserve"> 2020;</w:t>
      </w:r>
      <w:r w:rsidRPr="0009119E">
        <w:rPr>
          <w:b/>
          <w:bCs/>
        </w:rPr>
        <w:t>17</w:t>
      </w:r>
      <w:r w:rsidRPr="0009119E">
        <w:t>:1065–74. https://doi.org/10.1123/jpah.2019-0604.</w:t>
      </w:r>
    </w:p>
    <w:p w14:paraId="24EA3390" w14:textId="77777777" w:rsidR="003562FC" w:rsidRPr="0009119E" w:rsidRDefault="00000000" w:rsidP="003562FC">
      <w:pPr>
        <w:pStyle w:val="Bibliography"/>
        <w:tabs>
          <w:tab w:val="clear" w:pos="264"/>
        </w:tabs>
        <w:ind w:left="720" w:hanging="360"/>
      </w:pPr>
      <w:r w:rsidRPr="0009119E">
        <w:t>12</w:t>
      </w:r>
      <w:r w:rsidRPr="0009119E">
        <w:tab/>
        <w:t xml:space="preserve">Bell R, Tennant PWG, McParlin C, Pearce MS, Adamson AJ, Rankin J, </w:t>
      </w:r>
      <w:r w:rsidRPr="0009119E">
        <w:rPr>
          <w:i/>
          <w:iCs/>
        </w:rPr>
        <w:t>et al.</w:t>
      </w:r>
      <w:r w:rsidRPr="0009119E">
        <w:t xml:space="preserve"> Measuring physical activity in pregnancy: a comparison of accelerometry and self-completion questionnaires in overweight and obese women. </w:t>
      </w:r>
      <w:r w:rsidRPr="0009119E">
        <w:rPr>
          <w:i/>
          <w:iCs/>
        </w:rPr>
        <w:t>European Journal of Obstetrics &amp; Gynecology and Reproductive Biology</w:t>
      </w:r>
      <w:r w:rsidRPr="0009119E">
        <w:t xml:space="preserve"> 2013;</w:t>
      </w:r>
      <w:r w:rsidRPr="0009119E">
        <w:rPr>
          <w:b/>
          <w:bCs/>
        </w:rPr>
        <w:t>170</w:t>
      </w:r>
      <w:r w:rsidRPr="0009119E">
        <w:t>:90–5. https://doi.org/10.1016/j.ejogrb.2013.05.018.</w:t>
      </w:r>
    </w:p>
    <w:p w14:paraId="47C8EC62" w14:textId="77777777" w:rsidR="003562FC" w:rsidRPr="003D3DE8" w:rsidRDefault="00000000" w:rsidP="003562FC">
      <w:pPr>
        <w:pStyle w:val="Bibliography"/>
        <w:tabs>
          <w:tab w:val="clear" w:pos="264"/>
        </w:tabs>
        <w:ind w:left="720" w:hanging="360"/>
        <w:rPr>
          <w:lang w:val="es-AR"/>
        </w:rPr>
      </w:pPr>
      <w:r w:rsidRPr="0009119E">
        <w:t>13</w:t>
      </w:r>
      <w:r w:rsidRPr="0009119E">
        <w:tab/>
        <w:t xml:space="preserve">Espeche WG, Salazar MR. Ambulatory Blood Pressure Monitoring for Diagnosis and Management of Hypertension in Pregnant Women. </w:t>
      </w:r>
      <w:r w:rsidRPr="003D3DE8">
        <w:rPr>
          <w:i/>
          <w:iCs/>
          <w:lang w:val="es-AR"/>
        </w:rPr>
        <w:t>Diagnostics</w:t>
      </w:r>
      <w:r w:rsidRPr="003D3DE8">
        <w:rPr>
          <w:lang w:val="es-AR"/>
        </w:rPr>
        <w:t xml:space="preserve"> 2023;</w:t>
      </w:r>
      <w:r w:rsidRPr="003D3DE8">
        <w:rPr>
          <w:b/>
          <w:bCs/>
          <w:lang w:val="es-AR"/>
        </w:rPr>
        <w:t>13</w:t>
      </w:r>
      <w:r w:rsidRPr="003D3DE8">
        <w:rPr>
          <w:lang w:val="es-AR"/>
        </w:rPr>
        <w:t>:1457. https://doi.org/10.3390/diagnostics13081457.</w:t>
      </w:r>
    </w:p>
    <w:p w14:paraId="022159FA" w14:textId="77777777" w:rsidR="003562FC" w:rsidRPr="0009119E" w:rsidRDefault="00000000" w:rsidP="003562FC">
      <w:pPr>
        <w:pStyle w:val="Bibliography"/>
        <w:tabs>
          <w:tab w:val="clear" w:pos="264"/>
        </w:tabs>
        <w:ind w:left="720" w:hanging="360"/>
      </w:pPr>
      <w:r w:rsidRPr="003D3DE8">
        <w:rPr>
          <w:lang w:val="es-AR"/>
        </w:rPr>
        <w:t>14</w:t>
      </w:r>
      <w:r w:rsidRPr="003D3DE8">
        <w:rPr>
          <w:lang w:val="es-AR"/>
        </w:rPr>
        <w:tab/>
        <w:t xml:space="preserve">Salazar MR, Espeche WG, Balbín E, Leiva Sisnieguez CE, Leiva Sisnieguez BC, Stavile RN, </w:t>
      </w:r>
      <w:r w:rsidRPr="003D3DE8">
        <w:rPr>
          <w:i/>
          <w:iCs/>
          <w:lang w:val="es-AR"/>
        </w:rPr>
        <w:t>et al.</w:t>
      </w:r>
      <w:r w:rsidRPr="003D3DE8">
        <w:rPr>
          <w:lang w:val="es-AR"/>
        </w:rPr>
        <w:t xml:space="preserve"> </w:t>
      </w:r>
      <w:r w:rsidRPr="0009119E">
        <w:t xml:space="preserve">Office blood pressure values and the necessity of out-of-office measurements in high-risk pregnancies. </w:t>
      </w:r>
      <w:r w:rsidRPr="0009119E">
        <w:rPr>
          <w:i/>
          <w:iCs/>
        </w:rPr>
        <w:t>Journal of Hypertension</w:t>
      </w:r>
      <w:r w:rsidRPr="0009119E">
        <w:t xml:space="preserve"> 2019;</w:t>
      </w:r>
      <w:r w:rsidRPr="0009119E">
        <w:rPr>
          <w:b/>
          <w:bCs/>
        </w:rPr>
        <w:t>37</w:t>
      </w:r>
      <w:r w:rsidRPr="0009119E">
        <w:t>:1838. https://doi.org/10.1097/HJH.0000000000002140.</w:t>
      </w:r>
    </w:p>
    <w:p w14:paraId="54856E49" w14:textId="77777777" w:rsidR="003562FC" w:rsidRPr="0009119E" w:rsidRDefault="00000000" w:rsidP="003562FC">
      <w:pPr>
        <w:pStyle w:val="Bibliography"/>
        <w:tabs>
          <w:tab w:val="clear" w:pos="264"/>
        </w:tabs>
        <w:ind w:left="720" w:hanging="360"/>
      </w:pPr>
      <w:r w:rsidRPr="0009119E">
        <w:t>15</w:t>
      </w:r>
      <w:r w:rsidRPr="0009119E">
        <w:tab/>
        <w:t xml:space="preserve">Battelino T, Alexander CM, Amiel SA, Arreaza-Rubin G, Beck RW, Bergenstal RM, </w:t>
      </w:r>
      <w:r w:rsidRPr="0009119E">
        <w:rPr>
          <w:i/>
          <w:iCs/>
        </w:rPr>
        <w:t>et al.</w:t>
      </w:r>
      <w:r w:rsidRPr="0009119E">
        <w:t xml:space="preserve"> Continuous glucose monitoring and metrics for clinical trials: an international consensus statement. </w:t>
      </w:r>
      <w:r w:rsidRPr="0009119E">
        <w:rPr>
          <w:i/>
          <w:iCs/>
        </w:rPr>
        <w:t>The Lancet Diabetes &amp; Endocrinology</w:t>
      </w:r>
      <w:r w:rsidRPr="0009119E">
        <w:t xml:space="preserve"> 2023;</w:t>
      </w:r>
      <w:r w:rsidRPr="0009119E">
        <w:rPr>
          <w:b/>
          <w:bCs/>
        </w:rPr>
        <w:t>11</w:t>
      </w:r>
      <w:r w:rsidRPr="0009119E">
        <w:t>:42–57. https://doi.org/10.1016/S2213-8587(22)00319-9.</w:t>
      </w:r>
    </w:p>
    <w:p w14:paraId="1DE4D5A5" w14:textId="77777777" w:rsidR="003562FC" w:rsidRPr="0009119E" w:rsidRDefault="00000000" w:rsidP="003562FC">
      <w:pPr>
        <w:pStyle w:val="Bibliography"/>
        <w:tabs>
          <w:tab w:val="clear" w:pos="264"/>
        </w:tabs>
        <w:ind w:left="720" w:hanging="360"/>
      </w:pPr>
      <w:r w:rsidRPr="0009119E">
        <w:t>16</w:t>
      </w:r>
      <w:r w:rsidRPr="0009119E">
        <w:tab/>
        <w:t xml:space="preserve">Master H, Annis J, Huang S, Beckman JA, Ratsimbazafy F, Marginean K, </w:t>
      </w:r>
      <w:r w:rsidRPr="0009119E">
        <w:rPr>
          <w:i/>
          <w:iCs/>
        </w:rPr>
        <w:t>et al.</w:t>
      </w:r>
      <w:r w:rsidRPr="0009119E">
        <w:t xml:space="preserve"> Association of step counts over time with the risk of chronic disease in the All of Us Research Program. </w:t>
      </w:r>
      <w:r w:rsidRPr="0009119E">
        <w:rPr>
          <w:i/>
          <w:iCs/>
        </w:rPr>
        <w:t>Nat Med</w:t>
      </w:r>
      <w:r w:rsidRPr="0009119E">
        <w:t xml:space="preserve"> 2022;</w:t>
      </w:r>
      <w:r w:rsidRPr="0009119E">
        <w:rPr>
          <w:b/>
          <w:bCs/>
        </w:rPr>
        <w:t>28</w:t>
      </w:r>
      <w:r w:rsidRPr="0009119E">
        <w:t>:2301–8. https://doi.org/10.1038/s41591-022-02012-w.</w:t>
      </w:r>
    </w:p>
    <w:p w14:paraId="6EE4CD5E" w14:textId="77777777" w:rsidR="003562FC" w:rsidRPr="0009119E" w:rsidRDefault="00000000" w:rsidP="003562FC">
      <w:pPr>
        <w:pStyle w:val="Bibliography"/>
        <w:tabs>
          <w:tab w:val="clear" w:pos="264"/>
        </w:tabs>
        <w:ind w:left="720" w:hanging="360"/>
      </w:pPr>
      <w:r w:rsidRPr="0009119E">
        <w:lastRenderedPageBreak/>
        <w:t>17</w:t>
      </w:r>
      <w:r w:rsidRPr="0009119E">
        <w:tab/>
        <w:t xml:space="preserve">Choi L, Liu Z, Matthews CE, Buchowski MS. Validation of Accelerometer Wear and Nonwear Time Classification Algorithm. </w:t>
      </w:r>
      <w:r w:rsidRPr="0009119E">
        <w:rPr>
          <w:i/>
          <w:iCs/>
        </w:rPr>
        <w:t>Med Sci Sports Exerc</w:t>
      </w:r>
      <w:r w:rsidRPr="0009119E">
        <w:t xml:space="preserve"> 2011;</w:t>
      </w:r>
      <w:r w:rsidRPr="0009119E">
        <w:rPr>
          <w:b/>
          <w:bCs/>
        </w:rPr>
        <w:t>43</w:t>
      </w:r>
      <w:r w:rsidRPr="0009119E">
        <w:t>:357–64. https://doi.org/10.1249/MSS.0b013e3181ed61a3.</w:t>
      </w:r>
    </w:p>
    <w:p w14:paraId="5AA7725A" w14:textId="77777777" w:rsidR="003562FC" w:rsidRPr="0009119E" w:rsidRDefault="00000000" w:rsidP="003562FC">
      <w:pPr>
        <w:pStyle w:val="Bibliography"/>
        <w:tabs>
          <w:tab w:val="clear" w:pos="264"/>
        </w:tabs>
        <w:ind w:left="720" w:hanging="360"/>
      </w:pPr>
      <w:r w:rsidRPr="0009119E">
        <w:t>18</w:t>
      </w:r>
      <w:r w:rsidRPr="0009119E">
        <w:tab/>
        <w:t xml:space="preserve">Block VJ, Bove R, Zhao C, Garcha P, Graves J, Romeo AR, </w:t>
      </w:r>
      <w:r w:rsidRPr="0009119E">
        <w:rPr>
          <w:i/>
          <w:iCs/>
        </w:rPr>
        <w:t>et al.</w:t>
      </w:r>
      <w:r w:rsidRPr="0009119E">
        <w:t xml:space="preserve"> Association of Continuous Assessment of Step Count by Remote Monitoring With Disability Progression Among Adults With Multiple Sclerosis. </w:t>
      </w:r>
      <w:r w:rsidRPr="0009119E">
        <w:rPr>
          <w:i/>
          <w:iCs/>
        </w:rPr>
        <w:t>JAMA Network Open</w:t>
      </w:r>
      <w:r w:rsidRPr="0009119E">
        <w:t xml:space="preserve"> 2019;</w:t>
      </w:r>
      <w:r w:rsidRPr="0009119E">
        <w:rPr>
          <w:b/>
          <w:bCs/>
        </w:rPr>
        <w:t>2</w:t>
      </w:r>
      <w:r w:rsidRPr="0009119E">
        <w:t>:e190570. https://doi.org/10.1001/jamanetworkopen.2019.0570.</w:t>
      </w:r>
    </w:p>
    <w:p w14:paraId="64DAD36A" w14:textId="77777777" w:rsidR="003562FC" w:rsidRPr="0009119E" w:rsidRDefault="00000000" w:rsidP="003562FC">
      <w:pPr>
        <w:pStyle w:val="Bibliography"/>
        <w:tabs>
          <w:tab w:val="clear" w:pos="264"/>
        </w:tabs>
        <w:ind w:left="720" w:hanging="360"/>
      </w:pPr>
      <w:r w:rsidRPr="0009119E">
        <w:t>19</w:t>
      </w:r>
      <w:r w:rsidRPr="0009119E">
        <w:tab/>
        <w:t xml:space="preserve">Cole RJ, Kripke DF, Gruen W, Mullaney DJ, Gillin JC. Automatic sleep/wake identification from wrist activity. </w:t>
      </w:r>
      <w:r w:rsidRPr="0009119E">
        <w:rPr>
          <w:i/>
          <w:iCs/>
        </w:rPr>
        <w:t>Sleep</w:t>
      </w:r>
      <w:r w:rsidRPr="0009119E">
        <w:t xml:space="preserve"> 1992;</w:t>
      </w:r>
      <w:r w:rsidRPr="0009119E">
        <w:rPr>
          <w:b/>
          <w:bCs/>
        </w:rPr>
        <w:t>15</w:t>
      </w:r>
      <w:r w:rsidRPr="0009119E">
        <w:t>:461–9. https://doi.org/10.1093/sleep/15.5.461.</w:t>
      </w:r>
    </w:p>
    <w:p w14:paraId="39ED78DA" w14:textId="77777777" w:rsidR="003562FC" w:rsidRPr="0009119E" w:rsidRDefault="00000000" w:rsidP="003562FC">
      <w:pPr>
        <w:pStyle w:val="Bibliography"/>
        <w:tabs>
          <w:tab w:val="clear" w:pos="264"/>
        </w:tabs>
        <w:ind w:left="720" w:hanging="360"/>
      </w:pPr>
      <w:r w:rsidRPr="0009119E">
        <w:t>20</w:t>
      </w:r>
      <w:r w:rsidRPr="0009119E">
        <w:tab/>
        <w:t xml:space="preserve">Fekedulegn D, Andrew ME, Shi M, Violanti JM, Knox S, Innes KE. Actigraphy-Based Assessment of Sleep Parameters. </w:t>
      </w:r>
      <w:r w:rsidRPr="0009119E">
        <w:rPr>
          <w:i/>
          <w:iCs/>
        </w:rPr>
        <w:t>Ann Work Expo Health</w:t>
      </w:r>
      <w:r w:rsidRPr="0009119E">
        <w:t xml:space="preserve"> 2020;</w:t>
      </w:r>
      <w:r w:rsidRPr="0009119E">
        <w:rPr>
          <w:b/>
          <w:bCs/>
        </w:rPr>
        <w:t>64</w:t>
      </w:r>
      <w:r w:rsidRPr="0009119E">
        <w:t>:350–67. https://doi.org/10.1093/annweh/wxaa007.</w:t>
      </w:r>
    </w:p>
    <w:p w14:paraId="664219E3" w14:textId="77777777" w:rsidR="003562FC" w:rsidRPr="0009119E" w:rsidRDefault="00000000" w:rsidP="003562FC">
      <w:pPr>
        <w:pStyle w:val="Bibliography"/>
        <w:tabs>
          <w:tab w:val="clear" w:pos="264"/>
        </w:tabs>
        <w:ind w:left="720" w:hanging="360"/>
      </w:pPr>
      <w:r w:rsidRPr="0009119E">
        <w:t>21</w:t>
      </w:r>
      <w:r w:rsidRPr="0009119E">
        <w:tab/>
        <w:t xml:space="preserve">Martin JL, Hakim AD. Wrist Actigraphy. </w:t>
      </w:r>
      <w:r w:rsidRPr="0009119E">
        <w:rPr>
          <w:i/>
          <w:iCs/>
        </w:rPr>
        <w:t>Chest</w:t>
      </w:r>
      <w:r w:rsidRPr="0009119E">
        <w:t xml:space="preserve"> 2011;</w:t>
      </w:r>
      <w:r w:rsidRPr="0009119E">
        <w:rPr>
          <w:b/>
          <w:bCs/>
        </w:rPr>
        <w:t>139</w:t>
      </w:r>
      <w:r w:rsidRPr="0009119E">
        <w:t>:1514–27. https://doi.org/10.1378/chest.10-1872.</w:t>
      </w:r>
    </w:p>
    <w:p w14:paraId="10E7F960" w14:textId="77777777" w:rsidR="003562FC" w:rsidRPr="0009119E" w:rsidRDefault="00000000" w:rsidP="003562FC">
      <w:pPr>
        <w:pStyle w:val="Bibliography"/>
        <w:tabs>
          <w:tab w:val="clear" w:pos="264"/>
        </w:tabs>
        <w:ind w:left="720" w:hanging="360"/>
      </w:pPr>
      <w:r w:rsidRPr="0009119E">
        <w:t>22</w:t>
      </w:r>
      <w:r w:rsidRPr="0009119E">
        <w:tab/>
        <w:t xml:space="preserve">O’Brien E, Parati G, Stergiou G. Ambulatory Blood Pressure Measurement. </w:t>
      </w:r>
      <w:r w:rsidRPr="0009119E">
        <w:rPr>
          <w:i/>
          <w:iCs/>
        </w:rPr>
        <w:t>Hypertension</w:t>
      </w:r>
      <w:r w:rsidRPr="0009119E">
        <w:t xml:space="preserve"> 2013;</w:t>
      </w:r>
      <w:r w:rsidRPr="0009119E">
        <w:rPr>
          <w:b/>
          <w:bCs/>
        </w:rPr>
        <w:t>62</w:t>
      </w:r>
      <w:r w:rsidRPr="0009119E">
        <w:t>:988–94. https://doi.org/10.1161/HYPERTENSIONAHA.113.02148.</w:t>
      </w:r>
    </w:p>
    <w:p w14:paraId="2E569E89" w14:textId="77777777" w:rsidR="003562FC" w:rsidRPr="0009119E" w:rsidRDefault="00000000" w:rsidP="003562FC">
      <w:pPr>
        <w:pStyle w:val="Bibliography"/>
        <w:tabs>
          <w:tab w:val="clear" w:pos="264"/>
        </w:tabs>
        <w:ind w:left="720" w:hanging="360"/>
      </w:pPr>
      <w:r w:rsidRPr="0009119E">
        <w:t>23</w:t>
      </w:r>
      <w:r w:rsidRPr="0009119E">
        <w:tab/>
        <w:t xml:space="preserve">Lewis JR. The System Usability Scale: Past, Present, and Future. </w:t>
      </w:r>
      <w:r w:rsidRPr="0009119E">
        <w:rPr>
          <w:i/>
          <w:iCs/>
        </w:rPr>
        <w:t>International Journal of Human–Computer Interaction</w:t>
      </w:r>
      <w:r w:rsidRPr="0009119E">
        <w:t xml:space="preserve"> 2018;</w:t>
      </w:r>
      <w:r w:rsidRPr="0009119E">
        <w:rPr>
          <w:b/>
          <w:bCs/>
        </w:rPr>
        <w:t>34</w:t>
      </w:r>
      <w:r w:rsidRPr="0009119E">
        <w:t>:577–90. https://doi.org/10.1080/10447318.2018.1455307.</w:t>
      </w:r>
    </w:p>
    <w:p w14:paraId="4C0CAC42" w14:textId="77777777" w:rsidR="003562FC" w:rsidRPr="0009119E" w:rsidRDefault="00000000" w:rsidP="003562FC">
      <w:pPr>
        <w:pStyle w:val="Bibliography"/>
        <w:tabs>
          <w:tab w:val="clear" w:pos="264"/>
        </w:tabs>
        <w:ind w:left="720" w:hanging="360"/>
      </w:pPr>
      <w:r w:rsidRPr="0009119E">
        <w:t>24</w:t>
      </w:r>
      <w:r w:rsidRPr="0009119E">
        <w:tab/>
        <w:t xml:space="preserve">Amiri FN, Faramarzi M, Bakhtiari A, Omidvar S. Risk Factors for Gestational Diabetes Mellitus: A Case-Control Study. </w:t>
      </w:r>
      <w:r w:rsidRPr="0009119E">
        <w:rPr>
          <w:i/>
          <w:iCs/>
        </w:rPr>
        <w:t>Am J Lifestyle Med</w:t>
      </w:r>
      <w:r w:rsidRPr="0009119E">
        <w:t xml:space="preserve"> 2018;</w:t>
      </w:r>
      <w:r w:rsidRPr="0009119E">
        <w:rPr>
          <w:b/>
          <w:bCs/>
        </w:rPr>
        <w:t>15</w:t>
      </w:r>
      <w:r w:rsidRPr="0009119E">
        <w:t>:184–90. https://doi.org/10.1177/1559827618791980.</w:t>
      </w:r>
    </w:p>
    <w:p w14:paraId="1D394C8D" w14:textId="77777777" w:rsidR="003562FC" w:rsidRPr="0009119E" w:rsidRDefault="00000000" w:rsidP="003562FC">
      <w:pPr>
        <w:pStyle w:val="Bibliography"/>
        <w:tabs>
          <w:tab w:val="clear" w:pos="264"/>
        </w:tabs>
        <w:ind w:left="720" w:hanging="360"/>
      </w:pPr>
      <w:r w:rsidRPr="0009119E">
        <w:t>25</w:t>
      </w:r>
      <w:r w:rsidRPr="0009119E">
        <w:tab/>
        <w:t xml:space="preserve">Zhuang C, Gao J, Liu J, Wang X, He J, Sun J, </w:t>
      </w:r>
      <w:r w:rsidRPr="0009119E">
        <w:rPr>
          <w:i/>
          <w:iCs/>
        </w:rPr>
        <w:t>et al.</w:t>
      </w:r>
      <w:r w:rsidRPr="0009119E">
        <w:t xml:space="preserve"> Risk factors and potential protective factors of pregnancy-induced hypertension in China: A cross-sectional study. </w:t>
      </w:r>
      <w:r w:rsidRPr="0009119E">
        <w:rPr>
          <w:i/>
          <w:iCs/>
        </w:rPr>
        <w:t>The Journal of Clinical Hypertension</w:t>
      </w:r>
      <w:r w:rsidRPr="0009119E">
        <w:t xml:space="preserve"> 2019;</w:t>
      </w:r>
      <w:r w:rsidRPr="0009119E">
        <w:rPr>
          <w:b/>
          <w:bCs/>
        </w:rPr>
        <w:t>21</w:t>
      </w:r>
      <w:r w:rsidRPr="0009119E">
        <w:t>:618–23. https://doi.org/10.1111/jch.13541.</w:t>
      </w:r>
    </w:p>
    <w:p w14:paraId="3A3A7844" w14:textId="77777777" w:rsidR="003562FC" w:rsidRPr="0009119E" w:rsidRDefault="00000000" w:rsidP="003562FC">
      <w:pPr>
        <w:pStyle w:val="Bibliography"/>
        <w:tabs>
          <w:tab w:val="clear" w:pos="264"/>
        </w:tabs>
        <w:ind w:left="720" w:hanging="360"/>
      </w:pPr>
      <w:r w:rsidRPr="0009119E">
        <w:t>26</w:t>
      </w:r>
      <w:r w:rsidRPr="0009119E">
        <w:tab/>
        <w:t xml:space="preserve">Whelton PK, Carey RM, Aronow WS, Casey DE, Collins KJ, Dennison HC, </w:t>
      </w:r>
      <w:r w:rsidRPr="0009119E">
        <w:rPr>
          <w:i/>
          <w:iCs/>
        </w:rPr>
        <w:t>et al.</w:t>
      </w:r>
      <w:r w:rsidRPr="0009119E">
        <w:t xml:space="preserve"> 2017 ACC/AHA/AAPA/ABC/ACPM/AGS/APhA/ASH/ASPC/NMA/PCNA Guideline for the Prevention, Detection, Evaluation, and Management of High Blood Pressure in Adults. </w:t>
      </w:r>
      <w:r w:rsidRPr="0009119E">
        <w:rPr>
          <w:i/>
          <w:iCs/>
        </w:rPr>
        <w:t>Journal of the American College of Cardiology</w:t>
      </w:r>
      <w:r w:rsidRPr="0009119E">
        <w:t xml:space="preserve"> 2018;</w:t>
      </w:r>
      <w:r w:rsidRPr="0009119E">
        <w:rPr>
          <w:b/>
          <w:bCs/>
        </w:rPr>
        <w:t>71</w:t>
      </w:r>
      <w:r w:rsidRPr="0009119E">
        <w:t>:e127–248. https://doi.org/10.1016/j.jacc.2017.11.006.</w:t>
      </w:r>
    </w:p>
    <w:p w14:paraId="7024A7A2" w14:textId="77777777" w:rsidR="003562FC" w:rsidRPr="0009119E" w:rsidRDefault="00000000" w:rsidP="003562FC">
      <w:pPr>
        <w:pStyle w:val="Bibliography"/>
        <w:tabs>
          <w:tab w:val="clear" w:pos="264"/>
        </w:tabs>
        <w:ind w:left="720" w:hanging="360"/>
      </w:pPr>
      <w:r w:rsidRPr="0009119E">
        <w:t>27</w:t>
      </w:r>
      <w:r w:rsidRPr="0009119E">
        <w:tab/>
        <w:t xml:space="preserve">American Diabetes Association. Standards of Care in Diabetes—2023 Abridged for Primary Care Providers. </w:t>
      </w:r>
      <w:r w:rsidRPr="0009119E">
        <w:rPr>
          <w:i/>
          <w:iCs/>
        </w:rPr>
        <w:t>Clinical Diabetes</w:t>
      </w:r>
      <w:r w:rsidRPr="0009119E">
        <w:t xml:space="preserve"> 2022;</w:t>
      </w:r>
      <w:r w:rsidRPr="0009119E">
        <w:rPr>
          <w:b/>
          <w:bCs/>
        </w:rPr>
        <w:t>41</w:t>
      </w:r>
      <w:r w:rsidRPr="0009119E">
        <w:t>:4–31. https://doi.org/10.2337/cd23-as01.</w:t>
      </w:r>
    </w:p>
    <w:p w14:paraId="493FF760" w14:textId="77777777" w:rsidR="003562FC" w:rsidRPr="0009119E" w:rsidRDefault="00000000" w:rsidP="003562FC">
      <w:pPr>
        <w:pStyle w:val="Bibliography"/>
        <w:tabs>
          <w:tab w:val="clear" w:pos="264"/>
        </w:tabs>
        <w:ind w:left="720" w:hanging="360"/>
      </w:pPr>
      <w:r w:rsidRPr="0009119E">
        <w:t>28</w:t>
      </w:r>
      <w:r w:rsidRPr="0009119E">
        <w:tab/>
        <w:t xml:space="preserve">Scott EM, Bilous RW, Kautzky-Willer A. Accuracy, User Acceptability, and Safety Evaluation for the FreeStyle Libre Flash Glucose Monitoring System When Used by Pregnant Women with Diabetes. </w:t>
      </w:r>
      <w:r w:rsidRPr="0009119E">
        <w:rPr>
          <w:i/>
          <w:iCs/>
        </w:rPr>
        <w:t>Diabetes Technol Ther</w:t>
      </w:r>
      <w:r w:rsidRPr="0009119E">
        <w:t xml:space="preserve"> 2018;</w:t>
      </w:r>
      <w:r w:rsidRPr="0009119E">
        <w:rPr>
          <w:b/>
          <w:bCs/>
        </w:rPr>
        <w:t>20</w:t>
      </w:r>
      <w:r w:rsidRPr="0009119E">
        <w:t>:180–8. https://doi.org/10.1089/dia.2017.0386.</w:t>
      </w:r>
    </w:p>
    <w:p w14:paraId="3601EBBA" w14:textId="77777777" w:rsidR="003562FC" w:rsidRPr="0009119E" w:rsidRDefault="00000000" w:rsidP="003562FC">
      <w:pPr>
        <w:pStyle w:val="Bibliography"/>
        <w:tabs>
          <w:tab w:val="clear" w:pos="264"/>
        </w:tabs>
        <w:ind w:left="720" w:hanging="360"/>
      </w:pPr>
      <w:r w:rsidRPr="0009119E">
        <w:t>29</w:t>
      </w:r>
      <w:r w:rsidRPr="0009119E">
        <w:tab/>
        <w:t xml:space="preserve">Smith C, Galland B, Taylor R, Meredith-Jones K. ActiGraph GT3X+ and Actical Wrist and Hip Worn Accelerometers for Sleep and Wake Indices in Young Children Using an Automated Algorithm: Validation With Polysomnography. </w:t>
      </w:r>
      <w:r w:rsidRPr="0009119E">
        <w:rPr>
          <w:i/>
          <w:iCs/>
        </w:rPr>
        <w:t>Front Psychiatry</w:t>
      </w:r>
      <w:r w:rsidRPr="0009119E">
        <w:t xml:space="preserve"> 2020;</w:t>
      </w:r>
      <w:r w:rsidRPr="0009119E">
        <w:rPr>
          <w:b/>
          <w:bCs/>
        </w:rPr>
        <w:t>10</w:t>
      </w:r>
      <w:r w:rsidRPr="0009119E">
        <w:t>:958. https://doi.org/10.3389/fpsyt.2019.00958.</w:t>
      </w:r>
    </w:p>
    <w:p w14:paraId="02BD0DD9" w14:textId="77777777" w:rsidR="003562FC" w:rsidRPr="0009119E" w:rsidRDefault="00000000" w:rsidP="003562FC">
      <w:pPr>
        <w:pStyle w:val="Bibliography"/>
        <w:tabs>
          <w:tab w:val="clear" w:pos="264"/>
        </w:tabs>
        <w:ind w:left="720" w:hanging="360"/>
      </w:pPr>
      <w:r w:rsidRPr="0009119E">
        <w:t>30</w:t>
      </w:r>
      <w:r w:rsidRPr="0009119E">
        <w:tab/>
        <w:t xml:space="preserve">Balki I, Amirabadi A, Levman J, Martel AL, Emersic Z, Meden B, </w:t>
      </w:r>
      <w:r w:rsidRPr="0009119E">
        <w:rPr>
          <w:i/>
          <w:iCs/>
        </w:rPr>
        <w:t>et al.</w:t>
      </w:r>
      <w:r w:rsidRPr="0009119E">
        <w:t xml:space="preserve"> Sample-Size Determination Methodologies for Machine Learning in Medical Imaging Research: A Systematic Review. </w:t>
      </w:r>
      <w:r w:rsidRPr="0009119E">
        <w:rPr>
          <w:i/>
          <w:iCs/>
        </w:rPr>
        <w:t>Canadian Association of Radiologists Journal</w:t>
      </w:r>
      <w:r w:rsidRPr="0009119E">
        <w:t xml:space="preserve"> 2019;</w:t>
      </w:r>
      <w:r w:rsidRPr="0009119E">
        <w:rPr>
          <w:b/>
          <w:bCs/>
        </w:rPr>
        <w:t>70</w:t>
      </w:r>
      <w:r w:rsidRPr="0009119E">
        <w:t>:344–53. https://doi.org/10.1016/j.carj.2019.06.002.</w:t>
      </w:r>
    </w:p>
    <w:p w14:paraId="29C8F80E" w14:textId="77777777" w:rsidR="003562FC" w:rsidRPr="0009119E" w:rsidRDefault="00000000" w:rsidP="003562FC">
      <w:pPr>
        <w:pStyle w:val="Bibliography"/>
        <w:tabs>
          <w:tab w:val="clear" w:pos="264"/>
        </w:tabs>
        <w:ind w:left="720" w:hanging="360"/>
      </w:pPr>
      <w:r w:rsidRPr="003D3DE8">
        <w:rPr>
          <w:lang w:val="es-AR"/>
        </w:rPr>
        <w:t>31</w:t>
      </w:r>
      <w:r w:rsidRPr="003D3DE8">
        <w:rPr>
          <w:lang w:val="es-AR"/>
        </w:rPr>
        <w:tab/>
        <w:t xml:space="preserve">Dalmaijer ES, Nord CL, Astle DE. </w:t>
      </w:r>
      <w:r w:rsidRPr="0009119E">
        <w:t xml:space="preserve">Statistical power for cluster analysis. </w:t>
      </w:r>
      <w:r w:rsidRPr="0009119E">
        <w:rPr>
          <w:i/>
          <w:iCs/>
        </w:rPr>
        <w:t>BMC Bioinformatics</w:t>
      </w:r>
      <w:r w:rsidRPr="0009119E">
        <w:t xml:space="preserve"> 2022;</w:t>
      </w:r>
      <w:r w:rsidRPr="0009119E">
        <w:rPr>
          <w:b/>
          <w:bCs/>
        </w:rPr>
        <w:t>23</w:t>
      </w:r>
      <w:r w:rsidRPr="0009119E">
        <w:t>:205. https://doi.org/10.1186/s12859-022-04675-1.</w:t>
      </w:r>
    </w:p>
    <w:p w14:paraId="1DE0E9BD" w14:textId="77777777" w:rsidR="003562FC" w:rsidRPr="0009119E" w:rsidRDefault="00000000" w:rsidP="003562FC">
      <w:pPr>
        <w:pStyle w:val="Bibliography"/>
        <w:tabs>
          <w:tab w:val="clear" w:pos="264"/>
        </w:tabs>
        <w:ind w:left="720" w:hanging="360"/>
      </w:pPr>
      <w:r w:rsidRPr="0009119E">
        <w:t>32</w:t>
      </w:r>
      <w:r w:rsidRPr="0009119E">
        <w:tab/>
        <w:t xml:space="preserve">Barua S, Sabharwal A, Glantz N, Conneely C, Larez A, Bevier W, </w:t>
      </w:r>
      <w:r w:rsidRPr="0009119E">
        <w:rPr>
          <w:i/>
          <w:iCs/>
        </w:rPr>
        <w:t>et al.</w:t>
      </w:r>
      <w:r w:rsidRPr="0009119E">
        <w:t xml:space="preserve"> The northeast glucose drift: Stratification of post-breakfast dysglycemia among predominantly Hispanic/Latino adults at-risk or with type 2 diabetes. </w:t>
      </w:r>
      <w:r w:rsidRPr="0009119E">
        <w:rPr>
          <w:i/>
          <w:iCs/>
        </w:rPr>
        <w:t>eClinicalMedicine</w:t>
      </w:r>
      <w:r w:rsidRPr="0009119E">
        <w:t xml:space="preserve"> 2022;</w:t>
      </w:r>
      <w:r w:rsidRPr="0009119E">
        <w:rPr>
          <w:b/>
          <w:bCs/>
        </w:rPr>
        <w:t>43</w:t>
      </w:r>
      <w:r w:rsidRPr="0009119E">
        <w:t>:. https://doi.org/10.1016/j.eclinm.2021.101241.</w:t>
      </w:r>
    </w:p>
    <w:p w14:paraId="5873A810" w14:textId="77777777" w:rsidR="003562FC" w:rsidRPr="0009119E" w:rsidRDefault="00000000" w:rsidP="003562FC">
      <w:pPr>
        <w:pStyle w:val="Bibliography"/>
        <w:tabs>
          <w:tab w:val="clear" w:pos="264"/>
        </w:tabs>
        <w:ind w:left="720" w:hanging="360"/>
      </w:pPr>
      <w:r w:rsidRPr="003D3DE8">
        <w:rPr>
          <w:lang w:val="es-AR"/>
        </w:rPr>
        <w:t>33</w:t>
      </w:r>
      <w:r w:rsidRPr="003D3DE8">
        <w:rPr>
          <w:lang w:val="es-AR"/>
        </w:rPr>
        <w:tab/>
        <w:t xml:space="preserve">Hermida RC, Ayala DE, Mojón A, Fernández JR, Alonso I, Aguilar MF, </w:t>
      </w:r>
      <w:r w:rsidRPr="003D3DE8">
        <w:rPr>
          <w:i/>
          <w:iCs/>
          <w:lang w:val="es-AR"/>
        </w:rPr>
        <w:t>et al.</w:t>
      </w:r>
      <w:r w:rsidRPr="003D3DE8">
        <w:rPr>
          <w:lang w:val="es-AR"/>
        </w:rPr>
        <w:t xml:space="preserve"> </w:t>
      </w:r>
      <w:r w:rsidRPr="0009119E">
        <w:t xml:space="preserve">Differences in circadian blood pressure variability during gestation between healthy and complicated pregnancies*: </w:t>
      </w:r>
      <w:r w:rsidRPr="0009119E">
        <w:rPr>
          <w:i/>
          <w:iCs/>
        </w:rPr>
        <w:t>American Journal of Hypertension</w:t>
      </w:r>
      <w:r w:rsidRPr="0009119E">
        <w:t xml:space="preserve"> 2003;</w:t>
      </w:r>
      <w:r w:rsidRPr="0009119E">
        <w:rPr>
          <w:b/>
          <w:bCs/>
        </w:rPr>
        <w:t>16</w:t>
      </w:r>
      <w:r w:rsidRPr="0009119E">
        <w:t>:200–8. https://doi.org/10.1016/S0895-7061(02)03254-5.</w:t>
      </w:r>
    </w:p>
    <w:p w14:paraId="680354B0" w14:textId="77777777" w:rsidR="003562FC" w:rsidRPr="0009119E" w:rsidRDefault="00000000" w:rsidP="003562FC">
      <w:pPr>
        <w:pStyle w:val="Bibliography"/>
        <w:tabs>
          <w:tab w:val="clear" w:pos="264"/>
        </w:tabs>
        <w:ind w:left="720" w:hanging="360"/>
      </w:pPr>
      <w:r w:rsidRPr="0009119E">
        <w:t>34</w:t>
      </w:r>
      <w:r w:rsidRPr="0009119E">
        <w:tab/>
        <w:t>Chan K-P, Fu AW-C. Efficient Time Series Matching by Wavelets. Presented at the Proceedings 15th International Conference on Data Engineering (Cat. No.99CB36337).</w:t>
      </w:r>
    </w:p>
    <w:p w14:paraId="62D4CCD6" w14:textId="77777777" w:rsidR="003562FC" w:rsidRPr="0009119E" w:rsidRDefault="00000000" w:rsidP="003562FC">
      <w:pPr>
        <w:pStyle w:val="Bibliography"/>
        <w:tabs>
          <w:tab w:val="clear" w:pos="264"/>
        </w:tabs>
        <w:ind w:left="720" w:hanging="360"/>
      </w:pPr>
      <w:r w:rsidRPr="0009119E">
        <w:t>35</w:t>
      </w:r>
      <w:r w:rsidRPr="0009119E">
        <w:tab/>
        <w:t xml:space="preserve">Li K, Deng H, Morrison J, Habre R, Franklin M, Chiang Y-Y, </w:t>
      </w:r>
      <w:r w:rsidRPr="0009119E">
        <w:rPr>
          <w:i/>
          <w:iCs/>
        </w:rPr>
        <w:t>et al.</w:t>
      </w:r>
      <w:r w:rsidRPr="0009119E">
        <w:t xml:space="preserve"> W-TSS: A Wavelet-Based Algorithm for Discovering Time Series Shapelets. </w:t>
      </w:r>
      <w:r w:rsidRPr="0009119E">
        <w:rPr>
          <w:i/>
          <w:iCs/>
        </w:rPr>
        <w:t>Sensors (Basel)</w:t>
      </w:r>
      <w:r w:rsidRPr="0009119E">
        <w:t xml:space="preserve"> 2021;</w:t>
      </w:r>
      <w:r w:rsidRPr="0009119E">
        <w:rPr>
          <w:b/>
          <w:bCs/>
        </w:rPr>
        <w:t>21</w:t>
      </w:r>
      <w:r w:rsidRPr="0009119E">
        <w:t>:5801. https://doi.org/10.3390/s21175801.</w:t>
      </w:r>
    </w:p>
    <w:p w14:paraId="18C312F9" w14:textId="77777777" w:rsidR="003562FC" w:rsidRPr="0009119E" w:rsidRDefault="00000000" w:rsidP="003562FC">
      <w:pPr>
        <w:pStyle w:val="Bibliography"/>
        <w:tabs>
          <w:tab w:val="clear" w:pos="264"/>
        </w:tabs>
        <w:ind w:left="720" w:hanging="360"/>
      </w:pPr>
      <w:r w:rsidRPr="0009119E">
        <w:t>36</w:t>
      </w:r>
      <w:r w:rsidRPr="0009119E">
        <w:tab/>
        <w:t xml:space="preserve">Collings PJ, Farrar D, Gibson J, West J, Barber SE, Wright J. Associations of Pregnancy Physical Activity with Maternal Cardiometabolic Health, Neonatal Delivery Outcomes and Body Composition in a Biethnic Cohort of 7305 Mother–Child Pairs: The Born in Bradford Study. </w:t>
      </w:r>
      <w:r w:rsidRPr="0009119E">
        <w:rPr>
          <w:i/>
          <w:iCs/>
        </w:rPr>
        <w:t>Sports Med</w:t>
      </w:r>
      <w:r w:rsidRPr="0009119E">
        <w:t xml:space="preserve"> 2020;</w:t>
      </w:r>
      <w:r w:rsidRPr="0009119E">
        <w:rPr>
          <w:b/>
          <w:bCs/>
        </w:rPr>
        <w:t>50</w:t>
      </w:r>
      <w:r w:rsidRPr="0009119E">
        <w:t>:615–28. https://doi.org/10.1007/s40279-019-01193-8.</w:t>
      </w:r>
    </w:p>
    <w:p w14:paraId="0EBB9D26" w14:textId="77777777" w:rsidR="003562FC" w:rsidRPr="0009119E" w:rsidRDefault="00000000" w:rsidP="003562FC">
      <w:pPr>
        <w:pStyle w:val="Bibliography"/>
        <w:tabs>
          <w:tab w:val="clear" w:pos="264"/>
        </w:tabs>
        <w:ind w:left="720" w:hanging="360"/>
      </w:pPr>
      <w:r w:rsidRPr="0009119E">
        <w:t>37</w:t>
      </w:r>
      <w:r w:rsidRPr="0009119E">
        <w:tab/>
        <w:t xml:space="preserve">Davenport MH, Ruchat S-M, Poitras VJ, Garcia AJ, Gray CE, Barrowman N, </w:t>
      </w:r>
      <w:r w:rsidRPr="0009119E">
        <w:rPr>
          <w:i/>
          <w:iCs/>
        </w:rPr>
        <w:t>et al.</w:t>
      </w:r>
      <w:r w:rsidRPr="0009119E">
        <w:t xml:space="preserve"> Prenatal exercise for the prevention of gestational diabetes mellitus and hypertensive disorders of pregnancy: a systematic review and meta-analysis. </w:t>
      </w:r>
      <w:r w:rsidRPr="0009119E">
        <w:rPr>
          <w:i/>
          <w:iCs/>
        </w:rPr>
        <w:t>Br J Sports Med</w:t>
      </w:r>
      <w:r w:rsidRPr="0009119E">
        <w:t xml:space="preserve"> 2018;</w:t>
      </w:r>
      <w:r w:rsidRPr="0009119E">
        <w:rPr>
          <w:b/>
          <w:bCs/>
        </w:rPr>
        <w:t>52</w:t>
      </w:r>
      <w:r w:rsidRPr="0009119E">
        <w:t>:1367–75. https://doi.org/10.1136/bjsports-2018-099355.</w:t>
      </w:r>
    </w:p>
    <w:p w14:paraId="4E88613E" w14:textId="77777777" w:rsidR="003562FC" w:rsidRPr="0009119E" w:rsidRDefault="00000000" w:rsidP="003562FC">
      <w:pPr>
        <w:pStyle w:val="Bibliography"/>
        <w:tabs>
          <w:tab w:val="clear" w:pos="264"/>
        </w:tabs>
        <w:ind w:left="720" w:hanging="360"/>
      </w:pPr>
      <w:r w:rsidRPr="0009119E">
        <w:t>38</w:t>
      </w:r>
      <w:r w:rsidRPr="0009119E">
        <w:tab/>
        <w:t xml:space="preserve">Zhu Z, Xie H, Liu S, Yang R, Yu J, Yan Y, </w:t>
      </w:r>
      <w:r w:rsidRPr="0009119E">
        <w:rPr>
          <w:i/>
          <w:iCs/>
        </w:rPr>
        <w:t>et al.</w:t>
      </w:r>
      <w:r w:rsidRPr="0009119E">
        <w:t xml:space="preserve"> Effects of physical exercise on blood pressure during pregnancy. </w:t>
      </w:r>
      <w:r w:rsidRPr="0009119E">
        <w:rPr>
          <w:i/>
          <w:iCs/>
        </w:rPr>
        <w:t>BMC Public Health</w:t>
      </w:r>
      <w:r w:rsidRPr="0009119E">
        <w:t xml:space="preserve"> 2022;</w:t>
      </w:r>
      <w:r w:rsidRPr="0009119E">
        <w:rPr>
          <w:b/>
          <w:bCs/>
        </w:rPr>
        <w:t>22</w:t>
      </w:r>
      <w:r w:rsidRPr="0009119E">
        <w:t>:1733. https://doi.org/10.1186/s12889-022-14074-z.</w:t>
      </w:r>
    </w:p>
    <w:p w14:paraId="61076854" w14:textId="77777777" w:rsidR="003562FC" w:rsidRPr="003D3DE8" w:rsidRDefault="00000000" w:rsidP="003562FC">
      <w:pPr>
        <w:pStyle w:val="Bibliography"/>
        <w:tabs>
          <w:tab w:val="clear" w:pos="264"/>
        </w:tabs>
        <w:ind w:left="720" w:hanging="360"/>
        <w:rPr>
          <w:lang w:val="es-AR"/>
        </w:rPr>
      </w:pPr>
      <w:r w:rsidRPr="0009119E">
        <w:lastRenderedPageBreak/>
        <w:t>39</w:t>
      </w:r>
      <w:r w:rsidRPr="0009119E">
        <w:tab/>
        <w:t xml:space="preserve">Kuppevelt D van, Heywood J, Hamer M, Sabia S, Fitzsimons E, Hees V van. Segmenting accelerometer data from daily life with unsupervised machine learning. </w:t>
      </w:r>
      <w:r w:rsidRPr="003D3DE8">
        <w:rPr>
          <w:i/>
          <w:iCs/>
          <w:lang w:val="es-AR"/>
        </w:rPr>
        <w:t>PLOS ONE</w:t>
      </w:r>
      <w:r w:rsidRPr="003D3DE8">
        <w:rPr>
          <w:lang w:val="es-AR"/>
        </w:rPr>
        <w:t xml:space="preserve"> 2019;</w:t>
      </w:r>
      <w:r w:rsidRPr="003D3DE8">
        <w:rPr>
          <w:b/>
          <w:bCs/>
          <w:lang w:val="es-AR"/>
        </w:rPr>
        <w:t>14</w:t>
      </w:r>
      <w:r w:rsidRPr="003D3DE8">
        <w:rPr>
          <w:lang w:val="es-AR"/>
        </w:rPr>
        <w:t>:e0208692. https://doi.org/10.1371/journal.pone.0208692.</w:t>
      </w:r>
    </w:p>
    <w:p w14:paraId="743A526D" w14:textId="77777777" w:rsidR="003562FC" w:rsidRPr="0009119E" w:rsidRDefault="00000000" w:rsidP="003562FC">
      <w:pPr>
        <w:pStyle w:val="Bibliography"/>
        <w:tabs>
          <w:tab w:val="clear" w:pos="264"/>
        </w:tabs>
        <w:ind w:left="720" w:hanging="360"/>
      </w:pPr>
      <w:r w:rsidRPr="003D3DE8">
        <w:rPr>
          <w:lang w:val="es-AR"/>
        </w:rPr>
        <w:t>40</w:t>
      </w:r>
      <w:r w:rsidRPr="003D3DE8">
        <w:rPr>
          <w:lang w:val="es-AR"/>
        </w:rPr>
        <w:tab/>
        <w:t xml:space="preserve">Feng H, Yang L, Liang YY, Ai S, Liu Y, Liu Y, </w:t>
      </w:r>
      <w:r w:rsidRPr="003D3DE8">
        <w:rPr>
          <w:i/>
          <w:iCs/>
          <w:lang w:val="es-AR"/>
        </w:rPr>
        <w:t>et al.</w:t>
      </w:r>
      <w:r w:rsidRPr="003D3DE8">
        <w:rPr>
          <w:lang w:val="es-AR"/>
        </w:rPr>
        <w:t xml:space="preserve"> </w:t>
      </w:r>
      <w:r w:rsidRPr="0009119E">
        <w:t xml:space="preserve">Associations of timing of physical activity with all-cause and cause-specific mortality in a prospective cohort study. </w:t>
      </w:r>
      <w:r w:rsidRPr="0009119E">
        <w:rPr>
          <w:i/>
          <w:iCs/>
        </w:rPr>
        <w:t>Nat Commun</w:t>
      </w:r>
      <w:r w:rsidRPr="0009119E">
        <w:t xml:space="preserve"> 2023;</w:t>
      </w:r>
      <w:r w:rsidRPr="0009119E">
        <w:rPr>
          <w:b/>
          <w:bCs/>
        </w:rPr>
        <w:t>14</w:t>
      </w:r>
      <w:r w:rsidRPr="0009119E">
        <w:t>:930. https://doi.org/10.1038/s41467-023-36546-5.</w:t>
      </w:r>
    </w:p>
    <w:p w14:paraId="7C791FB9" w14:textId="77777777" w:rsidR="003562FC" w:rsidRPr="0009119E" w:rsidRDefault="00000000" w:rsidP="003562FC">
      <w:pPr>
        <w:pStyle w:val="Bibliography"/>
        <w:tabs>
          <w:tab w:val="clear" w:pos="264"/>
        </w:tabs>
        <w:ind w:left="720" w:hanging="360"/>
      </w:pPr>
      <w:r w:rsidRPr="0009119E">
        <w:t>41</w:t>
      </w:r>
      <w:r w:rsidRPr="0009119E">
        <w:tab/>
        <w:t xml:space="preserve">Eleftheriou D, Athanasiadou KI, Sifnaios E, Vagiakis E, Katsaounou P, Psaltopoulou T, </w:t>
      </w:r>
      <w:r w:rsidRPr="0009119E">
        <w:rPr>
          <w:i/>
          <w:iCs/>
        </w:rPr>
        <w:t>et al.</w:t>
      </w:r>
      <w:r w:rsidRPr="0009119E">
        <w:t xml:space="preserve"> Sleep disorders during pregnancy: an underestimated risk factor for gestational diabetes mellitus. </w:t>
      </w:r>
      <w:r w:rsidRPr="0009119E">
        <w:rPr>
          <w:i/>
          <w:iCs/>
        </w:rPr>
        <w:t>Endocrine</w:t>
      </w:r>
      <w:r w:rsidRPr="0009119E">
        <w:t xml:space="preserve"> 2023. https://doi.org/10.1007/s12020-023-03537-x.</w:t>
      </w:r>
    </w:p>
    <w:p w14:paraId="4DC2ED6C" w14:textId="77777777" w:rsidR="003562FC" w:rsidRPr="0009119E" w:rsidRDefault="00000000" w:rsidP="003562FC">
      <w:pPr>
        <w:pStyle w:val="Bibliography"/>
        <w:tabs>
          <w:tab w:val="clear" w:pos="264"/>
        </w:tabs>
        <w:ind w:left="720" w:hanging="360"/>
      </w:pPr>
      <w:r w:rsidRPr="0009119E">
        <w:t>42</w:t>
      </w:r>
      <w:r w:rsidRPr="0009119E">
        <w:tab/>
        <w:t xml:space="preserve">Haney A, Buysse DJ, Okun M. Sleep and Pregnancy-Induced Hypertension: A Possible Target for Intervention? </w:t>
      </w:r>
      <w:r w:rsidRPr="0009119E">
        <w:rPr>
          <w:i/>
          <w:iCs/>
        </w:rPr>
        <w:t>Journal of Clinical Sleep Medicine</w:t>
      </w:r>
      <w:r w:rsidRPr="0009119E">
        <w:t xml:space="preserve"> n.d.;</w:t>
      </w:r>
      <w:r w:rsidRPr="0009119E">
        <w:rPr>
          <w:b/>
          <w:bCs/>
        </w:rPr>
        <w:t>09</w:t>
      </w:r>
      <w:r w:rsidRPr="0009119E">
        <w:t>:1349–56. https://doi.org/10.5664/jcsm.3290.</w:t>
      </w:r>
    </w:p>
    <w:p w14:paraId="4A1B33C2" w14:textId="77777777" w:rsidR="003562FC" w:rsidRPr="0009119E" w:rsidRDefault="00000000" w:rsidP="003562FC">
      <w:pPr>
        <w:pStyle w:val="Bibliography"/>
        <w:tabs>
          <w:tab w:val="clear" w:pos="264"/>
        </w:tabs>
        <w:ind w:left="720" w:hanging="360"/>
      </w:pPr>
      <w:r w:rsidRPr="0009119E">
        <w:t>43</w:t>
      </w:r>
      <w:r w:rsidRPr="0009119E">
        <w:tab/>
        <w:t xml:space="preserve">Zhu J, Zheng T, Jin H, Wei M, Yu J, Ni J, </w:t>
      </w:r>
      <w:r w:rsidRPr="0009119E">
        <w:rPr>
          <w:i/>
          <w:iCs/>
        </w:rPr>
        <w:t>et al.</w:t>
      </w:r>
      <w:r w:rsidRPr="0009119E">
        <w:t xml:space="preserve"> Sleep Disturbances in Early Gestation and the Risks of Hypertensive Disorders of Pregnancy: a prospective cohort study. </w:t>
      </w:r>
      <w:r w:rsidRPr="0009119E">
        <w:rPr>
          <w:i/>
          <w:iCs/>
        </w:rPr>
        <w:t>American Journal of Epidemiology</w:t>
      </w:r>
      <w:r w:rsidRPr="0009119E">
        <w:t xml:space="preserve"> 2023:kwad223. https://doi.org/10.1093/aje/kwad223.</w:t>
      </w:r>
    </w:p>
    <w:p w14:paraId="109D660E" w14:textId="77777777" w:rsidR="003562FC" w:rsidRPr="0009119E" w:rsidRDefault="00000000" w:rsidP="003562FC">
      <w:pPr>
        <w:pStyle w:val="Bibliography"/>
        <w:tabs>
          <w:tab w:val="clear" w:pos="264"/>
        </w:tabs>
        <w:ind w:left="720" w:hanging="360"/>
      </w:pPr>
      <w:r w:rsidRPr="0009119E">
        <w:t>44</w:t>
      </w:r>
      <w:r w:rsidRPr="0009119E">
        <w:tab/>
        <w:t xml:space="preserve">Walch O, Huang Y, Forger D, Goldstein C. Sleep stage prediction with raw acceleration and photoplethysmography heart rate data derived from a consumer wearable device. </w:t>
      </w:r>
      <w:r w:rsidRPr="0009119E">
        <w:rPr>
          <w:i/>
          <w:iCs/>
        </w:rPr>
        <w:t>Sleep</w:t>
      </w:r>
      <w:r w:rsidRPr="0009119E">
        <w:t xml:space="preserve"> 2019;</w:t>
      </w:r>
      <w:r w:rsidRPr="0009119E">
        <w:rPr>
          <w:b/>
          <w:bCs/>
        </w:rPr>
        <w:t>42</w:t>
      </w:r>
      <w:r w:rsidRPr="0009119E">
        <w:t>:zsz180. https://doi.org/10.1093/sleep/zsz180.</w:t>
      </w:r>
    </w:p>
    <w:p w14:paraId="0160F2FE" w14:textId="77777777" w:rsidR="003562FC" w:rsidRPr="0009119E" w:rsidRDefault="00000000" w:rsidP="003562FC">
      <w:pPr>
        <w:pStyle w:val="Bibliography"/>
        <w:tabs>
          <w:tab w:val="clear" w:pos="264"/>
        </w:tabs>
        <w:ind w:left="720" w:hanging="360"/>
      </w:pPr>
      <w:r w:rsidRPr="0009119E">
        <w:t>45</w:t>
      </w:r>
      <w:r w:rsidRPr="0009119E">
        <w:tab/>
        <w:t xml:space="preserve">Zheng T, Chen R. Dirichlet ARMA models for compositional time series. </w:t>
      </w:r>
      <w:r w:rsidRPr="0009119E">
        <w:rPr>
          <w:i/>
          <w:iCs/>
        </w:rPr>
        <w:t>Journal of Multivariate Analysis</w:t>
      </w:r>
      <w:r w:rsidRPr="0009119E">
        <w:t xml:space="preserve"> 2017;</w:t>
      </w:r>
      <w:r w:rsidRPr="0009119E">
        <w:rPr>
          <w:b/>
          <w:bCs/>
        </w:rPr>
        <w:t>158</w:t>
      </w:r>
      <w:r w:rsidRPr="0009119E">
        <w:t>:31–46. https://doi.org/10.1016/j.jmva.2017.03.006.</w:t>
      </w:r>
    </w:p>
    <w:p w14:paraId="7F56ADD2" w14:textId="77777777" w:rsidR="003562FC" w:rsidRPr="0009119E" w:rsidRDefault="00000000" w:rsidP="003562FC">
      <w:pPr>
        <w:pStyle w:val="Bibliography"/>
        <w:tabs>
          <w:tab w:val="clear" w:pos="264"/>
        </w:tabs>
        <w:ind w:left="720" w:hanging="360"/>
      </w:pPr>
      <w:r w:rsidRPr="0009119E">
        <w:t>46</w:t>
      </w:r>
      <w:r w:rsidRPr="0009119E">
        <w:tab/>
        <w:t xml:space="preserve">Delea CS. Chronobiology of Blood Pressure. </w:t>
      </w:r>
      <w:r w:rsidRPr="0009119E">
        <w:rPr>
          <w:i/>
          <w:iCs/>
        </w:rPr>
        <w:t>Nephron</w:t>
      </w:r>
      <w:r w:rsidRPr="0009119E">
        <w:t xml:space="preserve"> 2008;</w:t>
      </w:r>
      <w:r w:rsidRPr="0009119E">
        <w:rPr>
          <w:b/>
          <w:bCs/>
        </w:rPr>
        <w:t>23</w:t>
      </w:r>
      <w:r w:rsidRPr="0009119E">
        <w:t>:91–7. https://doi.org/10.1159/000181615.</w:t>
      </w:r>
    </w:p>
    <w:p w14:paraId="3B57504B" w14:textId="77777777" w:rsidR="003562FC" w:rsidRPr="0009119E" w:rsidRDefault="00000000" w:rsidP="003562FC">
      <w:pPr>
        <w:pStyle w:val="Bibliography"/>
        <w:tabs>
          <w:tab w:val="clear" w:pos="264"/>
        </w:tabs>
        <w:ind w:left="720" w:hanging="360"/>
      </w:pPr>
      <w:r w:rsidRPr="0009119E">
        <w:t>47</w:t>
      </w:r>
      <w:r w:rsidRPr="0009119E">
        <w:tab/>
        <w:t xml:space="preserve">Kantorowska A, Cohen K, Oberlander M, Jaysing AR, Akerman MB, Wise A-M, </w:t>
      </w:r>
      <w:r w:rsidRPr="0009119E">
        <w:rPr>
          <w:i/>
          <w:iCs/>
        </w:rPr>
        <w:t>et al.</w:t>
      </w:r>
      <w:r w:rsidRPr="0009119E">
        <w:t xml:space="preserve"> Remote patient monitoring for management of diabetes mellitus in pregnancy is associated with improved maternal and neonatal outcomes. </w:t>
      </w:r>
      <w:r w:rsidRPr="0009119E">
        <w:rPr>
          <w:i/>
          <w:iCs/>
        </w:rPr>
        <w:t>American Journal of Obstetrics and Gynecology</w:t>
      </w:r>
      <w:r w:rsidRPr="0009119E">
        <w:t xml:space="preserve"> 2023;</w:t>
      </w:r>
      <w:r w:rsidRPr="0009119E">
        <w:rPr>
          <w:b/>
          <w:bCs/>
        </w:rPr>
        <w:t>228</w:t>
      </w:r>
      <w:r w:rsidRPr="0009119E">
        <w:t>:726.e1-726.e11. https://doi.org/10.1016/j.ajog.2023.02.015.</w:t>
      </w:r>
    </w:p>
    <w:p w14:paraId="1FB02E21" w14:textId="77777777" w:rsidR="003562FC" w:rsidRPr="0009119E" w:rsidRDefault="00000000" w:rsidP="003562FC">
      <w:pPr>
        <w:pStyle w:val="Bibliography"/>
        <w:tabs>
          <w:tab w:val="clear" w:pos="264"/>
        </w:tabs>
        <w:ind w:left="720" w:hanging="360"/>
      </w:pPr>
      <w:r w:rsidRPr="0009119E">
        <w:t>48</w:t>
      </w:r>
      <w:r w:rsidRPr="0009119E">
        <w:tab/>
        <w:t xml:space="preserve">Zeileis A, Grothendieck G. zoo: S3 Infrastructure for Regular and Irregular Time Series. </w:t>
      </w:r>
      <w:r w:rsidRPr="0009119E">
        <w:rPr>
          <w:i/>
          <w:iCs/>
        </w:rPr>
        <w:t>Journal of Statistical Software</w:t>
      </w:r>
      <w:r w:rsidRPr="0009119E">
        <w:t xml:space="preserve"> 2005;</w:t>
      </w:r>
      <w:r w:rsidRPr="0009119E">
        <w:rPr>
          <w:b/>
          <w:bCs/>
        </w:rPr>
        <w:t>14</w:t>
      </w:r>
      <w:r w:rsidRPr="0009119E">
        <w:t>:1–27. https://doi.org/10.18637/jss.v014.i06.</w:t>
      </w:r>
    </w:p>
    <w:p w14:paraId="44E67C82" w14:textId="77777777" w:rsidR="003562FC" w:rsidRPr="0009119E" w:rsidRDefault="00000000" w:rsidP="003562FC">
      <w:pPr>
        <w:pStyle w:val="Bibliography"/>
        <w:tabs>
          <w:tab w:val="clear" w:pos="264"/>
        </w:tabs>
        <w:ind w:left="720" w:hanging="360"/>
      </w:pPr>
      <w:r w:rsidRPr="0009119E">
        <w:t>49</w:t>
      </w:r>
      <w:r w:rsidRPr="0009119E">
        <w:tab/>
        <w:t xml:space="preserve">Happ C, Greven S. Multivariate Functional Principal Component Analysis for Data Observed on Different (Dimensional) Domains. </w:t>
      </w:r>
      <w:r w:rsidRPr="0009119E">
        <w:rPr>
          <w:i/>
          <w:iCs/>
        </w:rPr>
        <w:t>Journal of the American Statistical Association</w:t>
      </w:r>
      <w:r w:rsidRPr="0009119E">
        <w:t xml:space="preserve"> 2018;</w:t>
      </w:r>
      <w:r w:rsidRPr="0009119E">
        <w:rPr>
          <w:b/>
          <w:bCs/>
        </w:rPr>
        <w:t>113</w:t>
      </w:r>
      <w:r w:rsidRPr="0009119E">
        <w:t>:649–59. https://doi.org/10.1080/01621459.2016.1273115.</w:t>
      </w:r>
    </w:p>
    <w:p w14:paraId="59435CDE" w14:textId="77777777" w:rsidR="003562FC" w:rsidRPr="0009119E" w:rsidRDefault="00000000" w:rsidP="003562FC">
      <w:pPr>
        <w:pStyle w:val="Bibliography"/>
        <w:tabs>
          <w:tab w:val="clear" w:pos="264"/>
        </w:tabs>
        <w:ind w:left="720" w:hanging="360"/>
      </w:pPr>
      <w:r w:rsidRPr="0009119E">
        <w:t>50</w:t>
      </w:r>
      <w:r w:rsidRPr="0009119E">
        <w:tab/>
        <w:t xml:space="preserve">Rein M, Ben-Yacov O, Godneva A, Shilo S, Zmora N, Kolobkov D, </w:t>
      </w:r>
      <w:r w:rsidRPr="0009119E">
        <w:rPr>
          <w:i/>
          <w:iCs/>
        </w:rPr>
        <w:t>et al.</w:t>
      </w:r>
      <w:r w:rsidRPr="0009119E">
        <w:t xml:space="preserve"> Effects of personalized diets by prediction of glycemic responses on glycemic control and metabolic health in newly diagnosed T2DM: a randomized dietary intervention pilot trial. </w:t>
      </w:r>
      <w:r w:rsidRPr="0009119E">
        <w:rPr>
          <w:i/>
          <w:iCs/>
        </w:rPr>
        <w:t>BMC Med</w:t>
      </w:r>
      <w:r w:rsidRPr="0009119E">
        <w:t xml:space="preserve"> 2022;</w:t>
      </w:r>
      <w:r w:rsidRPr="0009119E">
        <w:rPr>
          <w:b/>
          <w:bCs/>
        </w:rPr>
        <w:t>20</w:t>
      </w:r>
      <w:r w:rsidRPr="0009119E">
        <w:t>:56. https://doi.org/10.1186/s12916-022-02254-y.</w:t>
      </w:r>
    </w:p>
    <w:p w14:paraId="084EA218" w14:textId="77777777" w:rsidR="003562FC" w:rsidRDefault="00000000" w:rsidP="003562FC">
      <w:pPr>
        <w:pStyle w:val="Bibliography"/>
        <w:tabs>
          <w:tab w:val="clear" w:pos="264"/>
        </w:tabs>
        <w:ind w:left="720" w:hanging="360"/>
      </w:pPr>
      <w:r w:rsidRPr="0009119E">
        <w:t>51</w:t>
      </w:r>
      <w:r w:rsidRPr="0009119E">
        <w:tab/>
        <w:t xml:space="preserve">Shilo S, Godneva A, Rachmiel M, Korem T, Kolobkov D, Karady T, </w:t>
      </w:r>
      <w:r w:rsidRPr="0009119E">
        <w:rPr>
          <w:i/>
          <w:iCs/>
        </w:rPr>
        <w:t>et al.</w:t>
      </w:r>
      <w:r w:rsidRPr="0009119E">
        <w:t xml:space="preserve"> Prediction of Personal Glycemic Responses to Food for Individuals With Type 1 Diabetes Through Integration of Clinical and Microbial Data. </w:t>
      </w:r>
      <w:r w:rsidRPr="0009119E">
        <w:rPr>
          <w:i/>
          <w:iCs/>
        </w:rPr>
        <w:t>Diabetes Care</w:t>
      </w:r>
      <w:r w:rsidRPr="0009119E">
        <w:t xml:space="preserve"> 2021;</w:t>
      </w:r>
      <w:r w:rsidRPr="0009119E">
        <w:rPr>
          <w:b/>
          <w:bCs/>
        </w:rPr>
        <w:t>45</w:t>
      </w:r>
      <w:r w:rsidRPr="0009119E">
        <w:t>:502–11. https://doi.org/10.2337/dc21-1048.</w:t>
      </w:r>
    </w:p>
    <w:p w14:paraId="4BAD2658" w14:textId="77777777" w:rsidR="00974329" w:rsidRDefault="00000000" w:rsidP="00974329">
      <w:pPr>
        <w:pStyle w:val="NormalWeb"/>
        <w:spacing w:before="0" w:beforeAutospacing="0" w:after="0" w:afterAutospacing="0"/>
        <w:ind w:left="360"/>
        <w:rPr>
          <w:rFonts w:ascii="Arial" w:hAnsi="Arial" w:cs="Arial"/>
          <w:sz w:val="20"/>
          <w:szCs w:val="20"/>
        </w:rPr>
      </w:pPr>
      <w:r w:rsidRPr="00974329">
        <w:rPr>
          <w:rFonts w:ascii="Arial" w:hAnsi="Arial" w:cs="Arial"/>
          <w:sz w:val="20"/>
          <w:szCs w:val="20"/>
        </w:rPr>
        <w:t>52</w:t>
      </w:r>
      <w:r>
        <w:rPr>
          <w:rFonts w:ascii="Arial" w:hAnsi="Arial" w:cs="Arial"/>
          <w:sz w:val="20"/>
          <w:szCs w:val="20"/>
        </w:rPr>
        <w:tab/>
      </w:r>
      <w:r w:rsidRPr="00974329">
        <w:rPr>
          <w:rFonts w:ascii="Arial" w:hAnsi="Arial" w:cs="Arial"/>
          <w:sz w:val="20"/>
          <w:szCs w:val="20"/>
        </w:rPr>
        <w:t xml:space="preserve"> Melamed N, Avnon T, Barrett J, et al. Gestational diabetes in twin pregnancies—a pathology requiring </w:t>
      </w:r>
    </w:p>
    <w:p w14:paraId="4CA4DD94" w14:textId="77777777" w:rsidR="00974329" w:rsidRDefault="00000000" w:rsidP="00974329">
      <w:pPr>
        <w:pStyle w:val="NormalWeb"/>
        <w:spacing w:before="0" w:beforeAutospacing="0" w:after="0" w:afterAutospacing="0"/>
        <w:ind w:left="360" w:firstLine="348"/>
        <w:rPr>
          <w:rFonts w:ascii="Arial" w:hAnsi="Arial" w:cs="Arial"/>
          <w:sz w:val="20"/>
          <w:szCs w:val="20"/>
        </w:rPr>
      </w:pPr>
      <w:r w:rsidRPr="00974329">
        <w:rPr>
          <w:rFonts w:ascii="Arial" w:hAnsi="Arial" w:cs="Arial"/>
          <w:sz w:val="20"/>
          <w:szCs w:val="20"/>
        </w:rPr>
        <w:t xml:space="preserve">treatment or a benign physiological adaptation? </w:t>
      </w:r>
      <w:r w:rsidRPr="00974329">
        <w:rPr>
          <w:rFonts w:ascii="Arial" w:hAnsi="Arial" w:cs="Arial"/>
          <w:i/>
          <w:iCs/>
          <w:sz w:val="20"/>
          <w:szCs w:val="20"/>
        </w:rPr>
        <w:t>American Journal of Obstetrics and Gynecology</w:t>
      </w:r>
      <w:r w:rsidRPr="00974329">
        <w:rPr>
          <w:rFonts w:ascii="Arial" w:hAnsi="Arial" w:cs="Arial"/>
          <w:sz w:val="20"/>
          <w:szCs w:val="20"/>
        </w:rPr>
        <w:t xml:space="preserve">. </w:t>
      </w:r>
    </w:p>
    <w:p w14:paraId="6BD547E9" w14:textId="77777777" w:rsidR="00974329" w:rsidRPr="00974329" w:rsidRDefault="00000000" w:rsidP="00974329">
      <w:pPr>
        <w:pStyle w:val="NormalWeb"/>
        <w:spacing w:before="0" w:beforeAutospacing="0" w:after="0" w:afterAutospacing="0"/>
        <w:ind w:left="360" w:firstLine="348"/>
        <w:rPr>
          <w:rFonts w:ascii="Arial" w:hAnsi="Arial" w:cs="Arial"/>
          <w:sz w:val="20"/>
          <w:szCs w:val="20"/>
        </w:rPr>
      </w:pPr>
      <w:r w:rsidRPr="00974329">
        <w:rPr>
          <w:rFonts w:ascii="Arial" w:hAnsi="Arial" w:cs="Arial"/>
          <w:sz w:val="20"/>
          <w:szCs w:val="20"/>
        </w:rPr>
        <w:t>2024;231(1):92-104.e4. doi:</w:t>
      </w:r>
      <w:hyperlink r:id="rId10" w:history="1">
        <w:r w:rsidR="00974329">
          <w:rPr>
            <w:rStyle w:val="Hyperlink"/>
            <w:rFonts w:ascii="Arial" w:hAnsi="Arial" w:cs="Arial"/>
            <w:color w:val="64B4FA"/>
            <w:sz w:val="20"/>
            <w:szCs w:val="20"/>
          </w:rPr>
          <w:t>10.1016/j.ajog.2024.01.004</w:t>
        </w:r>
      </w:hyperlink>
    </w:p>
    <w:p w14:paraId="7034AAFB" w14:textId="77777777" w:rsidR="00EA39BC" w:rsidRPr="00974329" w:rsidRDefault="00EA39BC"/>
    <w:p w14:paraId="2F904A68" w14:textId="77777777" w:rsidR="003562FC" w:rsidRPr="0009119E" w:rsidRDefault="00000000" w:rsidP="003562FC">
      <w:pPr>
        <w:ind w:left="720" w:hanging="360"/>
      </w:pPr>
      <w:r w:rsidRPr="0009119E">
        <w:fldChar w:fldCharType="end"/>
      </w:r>
    </w:p>
    <w:sectPr w:rsidR="003562FC" w:rsidRPr="0009119E" w:rsidSect="003562FC">
      <w:headerReference w:type="default" r:id="rId11"/>
      <w:headerReference w:type="first" r:id="rId12"/>
      <w:pgSz w:w="12240" w:h="15840"/>
      <w:pgMar w:top="1440" w:right="1080" w:bottom="1440" w:left="108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D7DF9" w14:textId="77777777" w:rsidR="00705141" w:rsidRDefault="00705141">
      <w:r>
        <w:separator/>
      </w:r>
    </w:p>
  </w:endnote>
  <w:endnote w:type="continuationSeparator" w:id="0">
    <w:p w14:paraId="14F43E14" w14:textId="77777777" w:rsidR="00705141" w:rsidRDefault="007051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809213" w14:textId="77777777" w:rsidR="00705141" w:rsidRDefault="00705141">
      <w:r>
        <w:separator/>
      </w:r>
    </w:p>
  </w:footnote>
  <w:footnote w:type="continuationSeparator" w:id="0">
    <w:p w14:paraId="1A2A7290" w14:textId="77777777" w:rsidR="00705141" w:rsidRDefault="007051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8C646" w14:textId="77777777" w:rsidR="00EA39BC" w:rsidRPr="00424B10" w:rsidRDefault="00000000" w:rsidP="003562FC">
    <w:pPr>
      <w:pBdr>
        <w:bottom w:val="single" w:sz="4" w:space="1" w:color="auto"/>
      </w:pBdr>
      <w:tabs>
        <w:tab w:val="left" w:pos="5400"/>
        <w:tab w:val="center" w:pos="5760"/>
      </w:tabs>
      <w:rPr>
        <w:bCs/>
        <w:sz w:val="16"/>
        <w:szCs w:val="16"/>
      </w:rPr>
    </w:pPr>
    <w:proofErr w:type="gramStart"/>
    <w:r w:rsidRPr="00424B10">
      <w:rPr>
        <w:bCs/>
        <w:sz w:val="16"/>
        <w:szCs w:val="16"/>
      </w:rPr>
      <w:t>Study #:</w:t>
    </w:r>
    <w:proofErr w:type="gramEnd"/>
    <w:r>
      <w:rPr>
        <w:bCs/>
        <w:sz w:val="16"/>
        <w:szCs w:val="16"/>
      </w:rPr>
      <w:t xml:space="preserve"> i24-00685</w:t>
    </w:r>
    <w:r>
      <w:rPr>
        <w:bCs/>
        <w:sz w:val="16"/>
        <w:szCs w:val="16"/>
      </w:rPr>
      <w:tab/>
    </w:r>
    <w:r>
      <w:rPr>
        <w:bCs/>
        <w:sz w:val="16"/>
        <w:szCs w:val="16"/>
      </w:rPr>
      <w:tab/>
    </w:r>
    <w:r>
      <w:rPr>
        <w:bCs/>
        <w:sz w:val="16"/>
        <w:szCs w:val="16"/>
      </w:rPr>
      <w:tab/>
    </w:r>
    <w:r>
      <w:rPr>
        <w:bCs/>
        <w:sz w:val="16"/>
        <w:szCs w:val="16"/>
      </w:rPr>
      <w:tab/>
    </w:r>
    <w:r w:rsidRPr="00424B10">
      <w:rPr>
        <w:bCs/>
        <w:sz w:val="16"/>
        <w:szCs w:val="16"/>
      </w:rPr>
      <w:tab/>
    </w:r>
    <w:r w:rsidRPr="00424B10">
      <w:rPr>
        <w:sz w:val="16"/>
        <w:szCs w:val="16"/>
      </w:rPr>
      <w:t xml:space="preserve">Page </w:t>
    </w:r>
    <w:r w:rsidRPr="00424B10">
      <w:rPr>
        <w:sz w:val="16"/>
        <w:szCs w:val="16"/>
      </w:rPr>
      <w:fldChar w:fldCharType="begin"/>
    </w:r>
    <w:r w:rsidRPr="00424B10">
      <w:rPr>
        <w:sz w:val="16"/>
        <w:szCs w:val="16"/>
      </w:rPr>
      <w:instrText xml:space="preserve"> PAGE </w:instrText>
    </w:r>
    <w:r w:rsidRPr="00424B10">
      <w:rPr>
        <w:sz w:val="16"/>
        <w:szCs w:val="16"/>
      </w:rPr>
      <w:fldChar w:fldCharType="separate"/>
    </w:r>
    <w:r>
      <w:rPr>
        <w:noProof/>
        <w:sz w:val="16"/>
        <w:szCs w:val="16"/>
      </w:rPr>
      <w:t>1</w:t>
    </w:r>
    <w:r w:rsidRPr="00424B10">
      <w:rPr>
        <w:sz w:val="16"/>
        <w:szCs w:val="16"/>
      </w:rPr>
      <w:fldChar w:fldCharType="end"/>
    </w:r>
    <w:r w:rsidRPr="00424B10">
      <w:rPr>
        <w:sz w:val="16"/>
        <w:szCs w:val="16"/>
      </w:rPr>
      <w:t xml:space="preserve"> of </w:t>
    </w:r>
    <w:r w:rsidRPr="00424B10">
      <w:rPr>
        <w:sz w:val="16"/>
        <w:szCs w:val="16"/>
      </w:rPr>
      <w:fldChar w:fldCharType="begin"/>
    </w:r>
    <w:r w:rsidRPr="00424B10">
      <w:rPr>
        <w:sz w:val="16"/>
        <w:szCs w:val="16"/>
      </w:rPr>
      <w:instrText xml:space="preserve"> NUMPAGES </w:instrText>
    </w:r>
    <w:r w:rsidRPr="00424B10">
      <w:rPr>
        <w:sz w:val="16"/>
        <w:szCs w:val="16"/>
      </w:rPr>
      <w:fldChar w:fldCharType="separate"/>
    </w:r>
    <w:r>
      <w:rPr>
        <w:noProof/>
        <w:sz w:val="16"/>
        <w:szCs w:val="16"/>
      </w:rPr>
      <w:t>17</w:t>
    </w:r>
    <w:r w:rsidRPr="00424B10">
      <w:rPr>
        <w:sz w:val="16"/>
        <w:szCs w:val="16"/>
      </w:rPr>
      <w:fldChar w:fldCharType="end"/>
    </w:r>
  </w:p>
  <w:p w14:paraId="3FBB4E1C" w14:textId="77777777" w:rsidR="00EA39BC" w:rsidRPr="00424B10" w:rsidRDefault="00EA39BC" w:rsidP="003562FC">
    <w:pPr>
      <w:pStyle w:val="Header"/>
      <w:rPr>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1B025" w14:textId="77777777" w:rsidR="00EA39BC" w:rsidRDefault="00000000">
    <w:pPr>
      <w:jc w:val="center"/>
    </w:pPr>
    <w:r>
      <w:rPr>
        <w:rStyle w:val="TopHeaderStyle"/>
      </w:rPr>
      <w:t>CLINICAL STUDY PROTOCOL</w:t>
    </w:r>
  </w:p>
  <w:p w14:paraId="3BFF75E0" w14:textId="77777777" w:rsidR="00EA39BC" w:rsidRDefault="00000000">
    <w:pPr>
      <w:jc w:val="center"/>
    </w:pPr>
    <w:r>
      <w:rPr>
        <w:noProof/>
      </w:rPr>
      <w:drawing>
        <wp:inline distT="0" distB="0" distL="0" distR="0" wp14:anchorId="1E5B41FE" wp14:editId="2DFF7C66">
          <wp:extent cx="2133600" cy="115316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133600" cy="115316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4DD9989"/>
    <w:multiLevelType w:val="multilevel"/>
    <w:tmpl w:val="2FF4296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85C09801"/>
    <w:multiLevelType w:val="multilevel"/>
    <w:tmpl w:val="789C6F1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9DC716DA"/>
    <w:multiLevelType w:val="multilevel"/>
    <w:tmpl w:val="51ACBE7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B410E100"/>
    <w:multiLevelType w:val="multilevel"/>
    <w:tmpl w:val="3AEE1F8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B6A0DF23"/>
    <w:multiLevelType w:val="multilevel"/>
    <w:tmpl w:val="A7ECA0E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CE30BEC8"/>
    <w:multiLevelType w:val="hybridMultilevel"/>
    <w:tmpl w:val="3CA26D30"/>
    <w:lvl w:ilvl="0" w:tplc="140A07F8">
      <w:start w:val="1"/>
      <w:numFmt w:val="bullet"/>
      <w:lvlText w:val=""/>
      <w:lvlJc w:val="left"/>
      <w:pPr>
        <w:tabs>
          <w:tab w:val="num" w:pos="720"/>
        </w:tabs>
        <w:ind w:left="720" w:hanging="360"/>
      </w:pPr>
      <w:rPr>
        <w:rFonts w:ascii="Symbol" w:hAnsi="Symbol" w:cs="Symbol" w:hint="default"/>
      </w:rPr>
    </w:lvl>
    <w:lvl w:ilvl="1" w:tplc="16983E4C">
      <w:start w:val="1"/>
      <w:numFmt w:val="bullet"/>
      <w:lvlText w:val="o"/>
      <w:lvlJc w:val="left"/>
      <w:pPr>
        <w:tabs>
          <w:tab w:val="num" w:pos="1440"/>
        </w:tabs>
        <w:ind w:left="1440" w:hanging="360"/>
      </w:pPr>
      <w:rPr>
        <w:rFonts w:ascii="Courier New" w:hAnsi="Courier New" w:cs="Courier New" w:hint="default"/>
      </w:rPr>
    </w:lvl>
    <w:lvl w:ilvl="2" w:tplc="5F2A4F5A">
      <w:start w:val="1"/>
      <w:numFmt w:val="bullet"/>
      <w:lvlText w:val=""/>
      <w:lvlJc w:val="left"/>
      <w:pPr>
        <w:tabs>
          <w:tab w:val="num" w:pos="2160"/>
        </w:tabs>
        <w:ind w:left="2160" w:hanging="360"/>
      </w:pPr>
      <w:rPr>
        <w:rFonts w:ascii="Wingdings" w:hAnsi="Wingdings" w:cs="Wingdings" w:hint="default"/>
      </w:rPr>
    </w:lvl>
    <w:lvl w:ilvl="3" w:tplc="A0A099E6">
      <w:start w:val="1"/>
      <w:numFmt w:val="bullet"/>
      <w:lvlText w:val=""/>
      <w:lvlJc w:val="left"/>
      <w:pPr>
        <w:tabs>
          <w:tab w:val="num" w:pos="2880"/>
        </w:tabs>
        <w:ind w:left="2880" w:hanging="360"/>
      </w:pPr>
      <w:rPr>
        <w:rFonts w:ascii="Symbol" w:hAnsi="Symbol" w:cs="Symbol" w:hint="default"/>
      </w:rPr>
    </w:lvl>
    <w:lvl w:ilvl="4" w:tplc="A920D3CE">
      <w:start w:val="1"/>
      <w:numFmt w:val="bullet"/>
      <w:lvlText w:val="o"/>
      <w:lvlJc w:val="left"/>
      <w:pPr>
        <w:tabs>
          <w:tab w:val="num" w:pos="3600"/>
        </w:tabs>
        <w:ind w:left="3600" w:hanging="360"/>
      </w:pPr>
      <w:rPr>
        <w:rFonts w:ascii="Courier New" w:hAnsi="Courier New" w:cs="Courier New" w:hint="default"/>
      </w:rPr>
    </w:lvl>
    <w:lvl w:ilvl="5" w:tplc="FF66A84C">
      <w:start w:val="1"/>
      <w:numFmt w:val="bullet"/>
      <w:lvlText w:val=""/>
      <w:lvlJc w:val="left"/>
      <w:pPr>
        <w:tabs>
          <w:tab w:val="num" w:pos="4320"/>
        </w:tabs>
        <w:ind w:left="4320" w:hanging="360"/>
      </w:pPr>
      <w:rPr>
        <w:rFonts w:ascii="Wingdings" w:hAnsi="Wingdings" w:cs="Wingdings" w:hint="default"/>
      </w:rPr>
    </w:lvl>
    <w:lvl w:ilvl="6" w:tplc="01A80282">
      <w:start w:val="1"/>
      <w:numFmt w:val="bullet"/>
      <w:lvlText w:val=""/>
      <w:lvlJc w:val="left"/>
      <w:pPr>
        <w:tabs>
          <w:tab w:val="num" w:pos="5040"/>
        </w:tabs>
        <w:ind w:left="5040" w:hanging="360"/>
      </w:pPr>
      <w:rPr>
        <w:rFonts w:ascii="Symbol" w:hAnsi="Symbol" w:cs="Symbol" w:hint="default"/>
      </w:rPr>
    </w:lvl>
    <w:lvl w:ilvl="7" w:tplc="8BA47EBE">
      <w:start w:val="1"/>
      <w:numFmt w:val="bullet"/>
      <w:lvlText w:val="o"/>
      <w:lvlJc w:val="left"/>
      <w:pPr>
        <w:tabs>
          <w:tab w:val="num" w:pos="5760"/>
        </w:tabs>
        <w:ind w:left="5760" w:hanging="360"/>
      </w:pPr>
      <w:rPr>
        <w:rFonts w:ascii="Courier New" w:hAnsi="Courier New" w:cs="Courier New" w:hint="default"/>
      </w:rPr>
    </w:lvl>
    <w:lvl w:ilvl="8" w:tplc="ACBC43D2">
      <w:start w:val="1"/>
      <w:numFmt w:val="bullet"/>
      <w:lvlText w:val=""/>
      <w:lvlJc w:val="left"/>
      <w:pPr>
        <w:tabs>
          <w:tab w:val="num" w:pos="6480"/>
        </w:tabs>
        <w:ind w:left="6480" w:hanging="360"/>
      </w:pPr>
      <w:rPr>
        <w:rFonts w:ascii="Wingdings" w:hAnsi="Wingdings" w:cs="Wingdings" w:hint="default"/>
      </w:rPr>
    </w:lvl>
  </w:abstractNum>
  <w:abstractNum w:abstractNumId="6" w15:restartNumberingAfterBreak="0">
    <w:nsid w:val="D6CE133A"/>
    <w:multiLevelType w:val="multilevel"/>
    <w:tmpl w:val="70C0CE1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DBC41136"/>
    <w:multiLevelType w:val="hybridMultilevel"/>
    <w:tmpl w:val="2ECA4406"/>
    <w:lvl w:ilvl="0" w:tplc="11401D2C">
      <w:start w:val="1"/>
      <w:numFmt w:val="bullet"/>
      <w:lvlText w:val=""/>
      <w:lvlJc w:val="left"/>
      <w:pPr>
        <w:tabs>
          <w:tab w:val="num" w:pos="720"/>
        </w:tabs>
        <w:ind w:left="720" w:hanging="360"/>
      </w:pPr>
      <w:rPr>
        <w:rFonts w:ascii="Symbol" w:hAnsi="Symbol" w:cs="Symbol" w:hint="default"/>
      </w:rPr>
    </w:lvl>
    <w:lvl w:ilvl="1" w:tplc="840EA9FC">
      <w:start w:val="1"/>
      <w:numFmt w:val="bullet"/>
      <w:lvlText w:val="o"/>
      <w:lvlJc w:val="left"/>
      <w:pPr>
        <w:tabs>
          <w:tab w:val="num" w:pos="1440"/>
        </w:tabs>
        <w:ind w:left="1440" w:hanging="360"/>
      </w:pPr>
      <w:rPr>
        <w:rFonts w:ascii="Courier New" w:hAnsi="Courier New" w:cs="Courier New" w:hint="default"/>
      </w:rPr>
    </w:lvl>
    <w:lvl w:ilvl="2" w:tplc="D91A60B0">
      <w:start w:val="1"/>
      <w:numFmt w:val="bullet"/>
      <w:lvlText w:val=""/>
      <w:lvlJc w:val="left"/>
      <w:pPr>
        <w:tabs>
          <w:tab w:val="num" w:pos="2160"/>
        </w:tabs>
        <w:ind w:left="2160" w:hanging="360"/>
      </w:pPr>
      <w:rPr>
        <w:rFonts w:ascii="Wingdings" w:hAnsi="Wingdings" w:cs="Wingdings" w:hint="default"/>
      </w:rPr>
    </w:lvl>
    <w:lvl w:ilvl="3" w:tplc="ACDACC04">
      <w:start w:val="1"/>
      <w:numFmt w:val="bullet"/>
      <w:lvlText w:val=""/>
      <w:lvlJc w:val="left"/>
      <w:pPr>
        <w:tabs>
          <w:tab w:val="num" w:pos="2880"/>
        </w:tabs>
        <w:ind w:left="2880" w:hanging="360"/>
      </w:pPr>
      <w:rPr>
        <w:rFonts w:ascii="Symbol" w:hAnsi="Symbol" w:cs="Symbol" w:hint="default"/>
      </w:rPr>
    </w:lvl>
    <w:lvl w:ilvl="4" w:tplc="3B42E078">
      <w:start w:val="1"/>
      <w:numFmt w:val="bullet"/>
      <w:lvlText w:val="o"/>
      <w:lvlJc w:val="left"/>
      <w:pPr>
        <w:tabs>
          <w:tab w:val="num" w:pos="3600"/>
        </w:tabs>
        <w:ind w:left="3600" w:hanging="360"/>
      </w:pPr>
      <w:rPr>
        <w:rFonts w:ascii="Courier New" w:hAnsi="Courier New" w:cs="Courier New" w:hint="default"/>
      </w:rPr>
    </w:lvl>
    <w:lvl w:ilvl="5" w:tplc="F4DC33B8">
      <w:start w:val="1"/>
      <w:numFmt w:val="bullet"/>
      <w:lvlText w:val=""/>
      <w:lvlJc w:val="left"/>
      <w:pPr>
        <w:tabs>
          <w:tab w:val="num" w:pos="4320"/>
        </w:tabs>
        <w:ind w:left="4320" w:hanging="360"/>
      </w:pPr>
      <w:rPr>
        <w:rFonts w:ascii="Wingdings" w:hAnsi="Wingdings" w:cs="Wingdings" w:hint="default"/>
      </w:rPr>
    </w:lvl>
    <w:lvl w:ilvl="6" w:tplc="6B52A5EA">
      <w:start w:val="1"/>
      <w:numFmt w:val="bullet"/>
      <w:lvlText w:val=""/>
      <w:lvlJc w:val="left"/>
      <w:pPr>
        <w:tabs>
          <w:tab w:val="num" w:pos="5040"/>
        </w:tabs>
        <w:ind w:left="5040" w:hanging="360"/>
      </w:pPr>
      <w:rPr>
        <w:rFonts w:ascii="Symbol" w:hAnsi="Symbol" w:cs="Symbol" w:hint="default"/>
      </w:rPr>
    </w:lvl>
    <w:lvl w:ilvl="7" w:tplc="8E9A4160">
      <w:start w:val="1"/>
      <w:numFmt w:val="bullet"/>
      <w:lvlText w:val="o"/>
      <w:lvlJc w:val="left"/>
      <w:pPr>
        <w:tabs>
          <w:tab w:val="num" w:pos="5760"/>
        </w:tabs>
        <w:ind w:left="5760" w:hanging="360"/>
      </w:pPr>
      <w:rPr>
        <w:rFonts w:ascii="Courier New" w:hAnsi="Courier New" w:cs="Courier New" w:hint="default"/>
      </w:rPr>
    </w:lvl>
    <w:lvl w:ilvl="8" w:tplc="6A14202A">
      <w:start w:val="1"/>
      <w:numFmt w:val="bullet"/>
      <w:lvlText w:val=""/>
      <w:lvlJc w:val="left"/>
      <w:pPr>
        <w:tabs>
          <w:tab w:val="num" w:pos="6480"/>
        </w:tabs>
        <w:ind w:left="6480" w:hanging="360"/>
      </w:pPr>
      <w:rPr>
        <w:rFonts w:ascii="Wingdings" w:hAnsi="Wingdings" w:cs="Wingdings" w:hint="default"/>
      </w:rPr>
    </w:lvl>
  </w:abstractNum>
  <w:abstractNum w:abstractNumId="8" w15:restartNumberingAfterBreak="0">
    <w:nsid w:val="F8560AC6"/>
    <w:multiLevelType w:val="hybridMultilevel"/>
    <w:tmpl w:val="2BACAFDE"/>
    <w:lvl w:ilvl="0" w:tplc="7AF69274">
      <w:start w:val="1"/>
      <w:numFmt w:val="bullet"/>
      <w:lvlText w:val=""/>
      <w:lvlJc w:val="left"/>
      <w:pPr>
        <w:tabs>
          <w:tab w:val="num" w:pos="720"/>
        </w:tabs>
        <w:ind w:left="720" w:hanging="360"/>
      </w:pPr>
      <w:rPr>
        <w:rFonts w:ascii="Symbol" w:hAnsi="Symbol" w:cs="Symbol" w:hint="default"/>
      </w:rPr>
    </w:lvl>
    <w:lvl w:ilvl="1" w:tplc="0E5E774E">
      <w:start w:val="1"/>
      <w:numFmt w:val="bullet"/>
      <w:lvlText w:val="o"/>
      <w:lvlJc w:val="left"/>
      <w:pPr>
        <w:tabs>
          <w:tab w:val="num" w:pos="1440"/>
        </w:tabs>
        <w:ind w:left="1440" w:hanging="360"/>
      </w:pPr>
      <w:rPr>
        <w:rFonts w:ascii="Courier New" w:hAnsi="Courier New" w:cs="Courier New" w:hint="default"/>
      </w:rPr>
    </w:lvl>
    <w:lvl w:ilvl="2" w:tplc="63B8F4D4">
      <w:start w:val="1"/>
      <w:numFmt w:val="bullet"/>
      <w:lvlText w:val=""/>
      <w:lvlJc w:val="left"/>
      <w:pPr>
        <w:tabs>
          <w:tab w:val="num" w:pos="2160"/>
        </w:tabs>
        <w:ind w:left="2160" w:hanging="360"/>
      </w:pPr>
      <w:rPr>
        <w:rFonts w:ascii="Wingdings" w:hAnsi="Wingdings" w:cs="Wingdings" w:hint="default"/>
      </w:rPr>
    </w:lvl>
    <w:lvl w:ilvl="3" w:tplc="0510B46C">
      <w:start w:val="1"/>
      <w:numFmt w:val="bullet"/>
      <w:lvlText w:val=""/>
      <w:lvlJc w:val="left"/>
      <w:pPr>
        <w:tabs>
          <w:tab w:val="num" w:pos="2880"/>
        </w:tabs>
        <w:ind w:left="2880" w:hanging="360"/>
      </w:pPr>
      <w:rPr>
        <w:rFonts w:ascii="Symbol" w:hAnsi="Symbol" w:cs="Symbol" w:hint="default"/>
      </w:rPr>
    </w:lvl>
    <w:lvl w:ilvl="4" w:tplc="3BC42AF0">
      <w:start w:val="1"/>
      <w:numFmt w:val="bullet"/>
      <w:lvlText w:val="o"/>
      <w:lvlJc w:val="left"/>
      <w:pPr>
        <w:tabs>
          <w:tab w:val="num" w:pos="3600"/>
        </w:tabs>
        <w:ind w:left="3600" w:hanging="360"/>
      </w:pPr>
      <w:rPr>
        <w:rFonts w:ascii="Courier New" w:hAnsi="Courier New" w:cs="Courier New" w:hint="default"/>
      </w:rPr>
    </w:lvl>
    <w:lvl w:ilvl="5" w:tplc="86B423A2">
      <w:start w:val="1"/>
      <w:numFmt w:val="bullet"/>
      <w:lvlText w:val=""/>
      <w:lvlJc w:val="left"/>
      <w:pPr>
        <w:tabs>
          <w:tab w:val="num" w:pos="4320"/>
        </w:tabs>
        <w:ind w:left="4320" w:hanging="360"/>
      </w:pPr>
      <w:rPr>
        <w:rFonts w:ascii="Wingdings" w:hAnsi="Wingdings" w:cs="Wingdings" w:hint="default"/>
      </w:rPr>
    </w:lvl>
    <w:lvl w:ilvl="6" w:tplc="455E9F3C">
      <w:start w:val="1"/>
      <w:numFmt w:val="bullet"/>
      <w:lvlText w:val=""/>
      <w:lvlJc w:val="left"/>
      <w:pPr>
        <w:tabs>
          <w:tab w:val="num" w:pos="5040"/>
        </w:tabs>
        <w:ind w:left="5040" w:hanging="360"/>
      </w:pPr>
      <w:rPr>
        <w:rFonts w:ascii="Symbol" w:hAnsi="Symbol" w:cs="Symbol" w:hint="default"/>
      </w:rPr>
    </w:lvl>
    <w:lvl w:ilvl="7" w:tplc="279ACC2C">
      <w:start w:val="1"/>
      <w:numFmt w:val="bullet"/>
      <w:lvlText w:val="o"/>
      <w:lvlJc w:val="left"/>
      <w:pPr>
        <w:tabs>
          <w:tab w:val="num" w:pos="5760"/>
        </w:tabs>
        <w:ind w:left="5760" w:hanging="360"/>
      </w:pPr>
      <w:rPr>
        <w:rFonts w:ascii="Courier New" w:hAnsi="Courier New" w:cs="Courier New" w:hint="default"/>
      </w:rPr>
    </w:lvl>
    <w:lvl w:ilvl="8" w:tplc="4DAA04C4">
      <w:start w:val="1"/>
      <w:numFmt w:val="bullet"/>
      <w:lvlText w:val=""/>
      <w:lvlJc w:val="left"/>
      <w:pPr>
        <w:tabs>
          <w:tab w:val="num" w:pos="6480"/>
        </w:tabs>
        <w:ind w:left="6480" w:hanging="360"/>
      </w:pPr>
      <w:rPr>
        <w:rFonts w:ascii="Wingdings" w:hAnsi="Wingdings" w:cs="Wingdings" w:hint="default"/>
      </w:rPr>
    </w:lvl>
  </w:abstractNum>
  <w:abstractNum w:abstractNumId="9" w15:restartNumberingAfterBreak="0">
    <w:nsid w:val="F8D6010E"/>
    <w:multiLevelType w:val="hybridMultilevel"/>
    <w:tmpl w:val="1118173C"/>
    <w:lvl w:ilvl="0" w:tplc="507882C0">
      <w:start w:val="1"/>
      <w:numFmt w:val="bullet"/>
      <w:lvlText w:val=""/>
      <w:lvlJc w:val="left"/>
      <w:pPr>
        <w:tabs>
          <w:tab w:val="num" w:pos="720"/>
        </w:tabs>
        <w:ind w:left="720" w:hanging="360"/>
      </w:pPr>
      <w:rPr>
        <w:rFonts w:ascii="Symbol" w:hAnsi="Symbol" w:cs="Symbol" w:hint="default"/>
      </w:rPr>
    </w:lvl>
    <w:lvl w:ilvl="1" w:tplc="8772897A">
      <w:start w:val="1"/>
      <w:numFmt w:val="bullet"/>
      <w:lvlText w:val="o"/>
      <w:lvlJc w:val="left"/>
      <w:pPr>
        <w:tabs>
          <w:tab w:val="num" w:pos="1440"/>
        </w:tabs>
        <w:ind w:left="1440" w:hanging="360"/>
      </w:pPr>
      <w:rPr>
        <w:rFonts w:ascii="Courier New" w:hAnsi="Courier New" w:cs="Courier New" w:hint="default"/>
      </w:rPr>
    </w:lvl>
    <w:lvl w:ilvl="2" w:tplc="93B0547A">
      <w:start w:val="1"/>
      <w:numFmt w:val="bullet"/>
      <w:lvlText w:val=""/>
      <w:lvlJc w:val="left"/>
      <w:pPr>
        <w:tabs>
          <w:tab w:val="num" w:pos="2160"/>
        </w:tabs>
        <w:ind w:left="2160" w:hanging="360"/>
      </w:pPr>
      <w:rPr>
        <w:rFonts w:ascii="Wingdings" w:hAnsi="Wingdings" w:cs="Wingdings" w:hint="default"/>
      </w:rPr>
    </w:lvl>
    <w:lvl w:ilvl="3" w:tplc="20BACFDE">
      <w:start w:val="1"/>
      <w:numFmt w:val="bullet"/>
      <w:lvlText w:val=""/>
      <w:lvlJc w:val="left"/>
      <w:pPr>
        <w:tabs>
          <w:tab w:val="num" w:pos="2880"/>
        </w:tabs>
        <w:ind w:left="2880" w:hanging="360"/>
      </w:pPr>
      <w:rPr>
        <w:rFonts w:ascii="Symbol" w:hAnsi="Symbol" w:cs="Symbol" w:hint="default"/>
      </w:rPr>
    </w:lvl>
    <w:lvl w:ilvl="4" w:tplc="0E9E2D02">
      <w:start w:val="1"/>
      <w:numFmt w:val="bullet"/>
      <w:lvlText w:val="o"/>
      <w:lvlJc w:val="left"/>
      <w:pPr>
        <w:tabs>
          <w:tab w:val="num" w:pos="3600"/>
        </w:tabs>
        <w:ind w:left="3600" w:hanging="360"/>
      </w:pPr>
      <w:rPr>
        <w:rFonts w:ascii="Courier New" w:hAnsi="Courier New" w:cs="Courier New" w:hint="default"/>
      </w:rPr>
    </w:lvl>
    <w:lvl w:ilvl="5" w:tplc="25B870AE">
      <w:start w:val="1"/>
      <w:numFmt w:val="bullet"/>
      <w:lvlText w:val=""/>
      <w:lvlJc w:val="left"/>
      <w:pPr>
        <w:tabs>
          <w:tab w:val="num" w:pos="4320"/>
        </w:tabs>
        <w:ind w:left="4320" w:hanging="360"/>
      </w:pPr>
      <w:rPr>
        <w:rFonts w:ascii="Wingdings" w:hAnsi="Wingdings" w:cs="Wingdings" w:hint="default"/>
      </w:rPr>
    </w:lvl>
    <w:lvl w:ilvl="6" w:tplc="36223324">
      <w:start w:val="1"/>
      <w:numFmt w:val="bullet"/>
      <w:lvlText w:val=""/>
      <w:lvlJc w:val="left"/>
      <w:pPr>
        <w:tabs>
          <w:tab w:val="num" w:pos="5040"/>
        </w:tabs>
        <w:ind w:left="5040" w:hanging="360"/>
      </w:pPr>
      <w:rPr>
        <w:rFonts w:ascii="Symbol" w:hAnsi="Symbol" w:cs="Symbol" w:hint="default"/>
      </w:rPr>
    </w:lvl>
    <w:lvl w:ilvl="7" w:tplc="5D90F11A">
      <w:start w:val="1"/>
      <w:numFmt w:val="bullet"/>
      <w:lvlText w:val="o"/>
      <w:lvlJc w:val="left"/>
      <w:pPr>
        <w:tabs>
          <w:tab w:val="num" w:pos="5760"/>
        </w:tabs>
        <w:ind w:left="5760" w:hanging="360"/>
      </w:pPr>
      <w:rPr>
        <w:rFonts w:ascii="Courier New" w:hAnsi="Courier New" w:cs="Courier New" w:hint="default"/>
      </w:rPr>
    </w:lvl>
    <w:lvl w:ilvl="8" w:tplc="228469F2">
      <w:start w:val="1"/>
      <w:numFmt w:val="bullet"/>
      <w:lvlText w:val=""/>
      <w:lvlJc w:val="left"/>
      <w:pPr>
        <w:tabs>
          <w:tab w:val="num" w:pos="6480"/>
        </w:tabs>
        <w:ind w:left="6480" w:hanging="360"/>
      </w:pPr>
      <w:rPr>
        <w:rFonts w:ascii="Wingdings" w:hAnsi="Wingdings" w:cs="Wingdings" w:hint="default"/>
      </w:rPr>
    </w:lvl>
  </w:abstractNum>
  <w:abstractNum w:abstractNumId="10" w15:restartNumberingAfterBreak="0">
    <w:nsid w:val="0AB806EA"/>
    <w:multiLevelType w:val="hybridMultilevel"/>
    <w:tmpl w:val="166EB724"/>
    <w:lvl w:ilvl="0" w:tplc="B45A8C24">
      <w:start w:val="1"/>
      <w:numFmt w:val="bullet"/>
      <w:lvlText w:val=""/>
      <w:lvlJc w:val="left"/>
      <w:pPr>
        <w:tabs>
          <w:tab w:val="num" w:pos="720"/>
        </w:tabs>
        <w:ind w:left="720" w:hanging="360"/>
      </w:pPr>
      <w:rPr>
        <w:rFonts w:ascii="Symbol" w:hAnsi="Symbol" w:cs="Symbol" w:hint="default"/>
      </w:rPr>
    </w:lvl>
    <w:lvl w:ilvl="1" w:tplc="E8A223C6">
      <w:start w:val="1"/>
      <w:numFmt w:val="bullet"/>
      <w:lvlText w:val="o"/>
      <w:lvlJc w:val="left"/>
      <w:pPr>
        <w:tabs>
          <w:tab w:val="num" w:pos="1440"/>
        </w:tabs>
        <w:ind w:left="1440" w:hanging="360"/>
      </w:pPr>
      <w:rPr>
        <w:rFonts w:ascii="Courier New" w:hAnsi="Courier New" w:cs="Courier New" w:hint="default"/>
      </w:rPr>
    </w:lvl>
    <w:lvl w:ilvl="2" w:tplc="B2061490">
      <w:start w:val="1"/>
      <w:numFmt w:val="bullet"/>
      <w:lvlText w:val=""/>
      <w:lvlJc w:val="left"/>
      <w:pPr>
        <w:tabs>
          <w:tab w:val="num" w:pos="2160"/>
        </w:tabs>
        <w:ind w:left="2160" w:hanging="360"/>
      </w:pPr>
      <w:rPr>
        <w:rFonts w:ascii="Wingdings" w:hAnsi="Wingdings" w:cs="Wingdings" w:hint="default"/>
      </w:rPr>
    </w:lvl>
    <w:lvl w:ilvl="3" w:tplc="52E8FBEA">
      <w:start w:val="1"/>
      <w:numFmt w:val="bullet"/>
      <w:lvlText w:val=""/>
      <w:lvlJc w:val="left"/>
      <w:pPr>
        <w:tabs>
          <w:tab w:val="num" w:pos="2880"/>
        </w:tabs>
        <w:ind w:left="2880" w:hanging="360"/>
      </w:pPr>
      <w:rPr>
        <w:rFonts w:ascii="Symbol" w:hAnsi="Symbol" w:cs="Symbol" w:hint="default"/>
      </w:rPr>
    </w:lvl>
    <w:lvl w:ilvl="4" w:tplc="012A29EC">
      <w:start w:val="1"/>
      <w:numFmt w:val="bullet"/>
      <w:lvlText w:val="o"/>
      <w:lvlJc w:val="left"/>
      <w:pPr>
        <w:tabs>
          <w:tab w:val="num" w:pos="3600"/>
        </w:tabs>
        <w:ind w:left="3600" w:hanging="360"/>
      </w:pPr>
      <w:rPr>
        <w:rFonts w:ascii="Courier New" w:hAnsi="Courier New" w:cs="Courier New" w:hint="default"/>
      </w:rPr>
    </w:lvl>
    <w:lvl w:ilvl="5" w:tplc="BF9C7BBA">
      <w:start w:val="1"/>
      <w:numFmt w:val="bullet"/>
      <w:lvlText w:val=""/>
      <w:lvlJc w:val="left"/>
      <w:pPr>
        <w:tabs>
          <w:tab w:val="num" w:pos="4320"/>
        </w:tabs>
        <w:ind w:left="4320" w:hanging="360"/>
      </w:pPr>
      <w:rPr>
        <w:rFonts w:ascii="Wingdings" w:hAnsi="Wingdings" w:cs="Wingdings" w:hint="default"/>
      </w:rPr>
    </w:lvl>
    <w:lvl w:ilvl="6" w:tplc="16980506">
      <w:start w:val="1"/>
      <w:numFmt w:val="bullet"/>
      <w:lvlText w:val=""/>
      <w:lvlJc w:val="left"/>
      <w:pPr>
        <w:tabs>
          <w:tab w:val="num" w:pos="5040"/>
        </w:tabs>
        <w:ind w:left="5040" w:hanging="360"/>
      </w:pPr>
      <w:rPr>
        <w:rFonts w:ascii="Symbol" w:hAnsi="Symbol" w:cs="Symbol" w:hint="default"/>
      </w:rPr>
    </w:lvl>
    <w:lvl w:ilvl="7" w:tplc="38AA3FEE">
      <w:start w:val="1"/>
      <w:numFmt w:val="bullet"/>
      <w:lvlText w:val="o"/>
      <w:lvlJc w:val="left"/>
      <w:pPr>
        <w:tabs>
          <w:tab w:val="num" w:pos="5760"/>
        </w:tabs>
        <w:ind w:left="5760" w:hanging="360"/>
      </w:pPr>
      <w:rPr>
        <w:rFonts w:ascii="Courier New" w:hAnsi="Courier New" w:cs="Courier New" w:hint="default"/>
      </w:rPr>
    </w:lvl>
    <w:lvl w:ilvl="8" w:tplc="DE3C1DBC">
      <w:start w:val="1"/>
      <w:numFmt w:val="bullet"/>
      <w:lvlText w:val=""/>
      <w:lvlJc w:val="left"/>
      <w:pPr>
        <w:tabs>
          <w:tab w:val="num" w:pos="6480"/>
        </w:tabs>
        <w:ind w:left="6480" w:hanging="360"/>
      </w:pPr>
      <w:rPr>
        <w:rFonts w:ascii="Wingdings" w:hAnsi="Wingdings" w:cs="Wingdings" w:hint="default"/>
      </w:rPr>
    </w:lvl>
  </w:abstractNum>
  <w:abstractNum w:abstractNumId="11" w15:restartNumberingAfterBreak="0">
    <w:nsid w:val="105B2FE3"/>
    <w:multiLevelType w:val="multilevel"/>
    <w:tmpl w:val="DA4AC55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15:restartNumberingAfterBreak="0">
    <w:nsid w:val="1C0532D8"/>
    <w:multiLevelType w:val="multilevel"/>
    <w:tmpl w:val="BF5E278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15:restartNumberingAfterBreak="0">
    <w:nsid w:val="1EC9375F"/>
    <w:multiLevelType w:val="hybridMultilevel"/>
    <w:tmpl w:val="87D8FD3C"/>
    <w:lvl w:ilvl="0" w:tplc="45D6AEA2">
      <w:start w:val="1"/>
      <w:numFmt w:val="lowerLetter"/>
      <w:lvlText w:val="%1."/>
      <w:lvlJc w:val="left"/>
      <w:pPr>
        <w:ind w:left="720" w:hanging="360"/>
      </w:pPr>
      <w:rPr>
        <w:sz w:val="20"/>
        <w:szCs w:val="20"/>
      </w:rPr>
    </w:lvl>
    <w:lvl w:ilvl="1" w:tplc="070832AC">
      <w:start w:val="1"/>
      <w:numFmt w:val="lowerLetter"/>
      <w:lvlText w:val="%2."/>
      <w:lvlJc w:val="left"/>
      <w:pPr>
        <w:ind w:left="1440" w:hanging="360"/>
      </w:pPr>
    </w:lvl>
    <w:lvl w:ilvl="2" w:tplc="6CE628C4" w:tentative="1">
      <w:start w:val="1"/>
      <w:numFmt w:val="lowerRoman"/>
      <w:lvlText w:val="%3."/>
      <w:lvlJc w:val="right"/>
      <w:pPr>
        <w:ind w:left="2160" w:hanging="180"/>
      </w:pPr>
    </w:lvl>
    <w:lvl w:ilvl="3" w:tplc="5F4C7F86" w:tentative="1">
      <w:start w:val="1"/>
      <w:numFmt w:val="decimal"/>
      <w:lvlText w:val="%4."/>
      <w:lvlJc w:val="left"/>
      <w:pPr>
        <w:ind w:left="2880" w:hanging="360"/>
      </w:pPr>
    </w:lvl>
    <w:lvl w:ilvl="4" w:tplc="D02A8544" w:tentative="1">
      <w:start w:val="1"/>
      <w:numFmt w:val="lowerLetter"/>
      <w:lvlText w:val="%5."/>
      <w:lvlJc w:val="left"/>
      <w:pPr>
        <w:ind w:left="3600" w:hanging="360"/>
      </w:pPr>
    </w:lvl>
    <w:lvl w:ilvl="5" w:tplc="EB4ED26A" w:tentative="1">
      <w:start w:val="1"/>
      <w:numFmt w:val="lowerRoman"/>
      <w:lvlText w:val="%6."/>
      <w:lvlJc w:val="right"/>
      <w:pPr>
        <w:ind w:left="4320" w:hanging="180"/>
      </w:pPr>
    </w:lvl>
    <w:lvl w:ilvl="6" w:tplc="D9ECCFE8" w:tentative="1">
      <w:start w:val="1"/>
      <w:numFmt w:val="decimal"/>
      <w:lvlText w:val="%7."/>
      <w:lvlJc w:val="left"/>
      <w:pPr>
        <w:ind w:left="5040" w:hanging="360"/>
      </w:pPr>
    </w:lvl>
    <w:lvl w:ilvl="7" w:tplc="984C33AE" w:tentative="1">
      <w:start w:val="1"/>
      <w:numFmt w:val="lowerLetter"/>
      <w:lvlText w:val="%8."/>
      <w:lvlJc w:val="left"/>
      <w:pPr>
        <w:ind w:left="5760" w:hanging="360"/>
      </w:pPr>
    </w:lvl>
    <w:lvl w:ilvl="8" w:tplc="298ADC5C" w:tentative="1">
      <w:start w:val="1"/>
      <w:numFmt w:val="lowerRoman"/>
      <w:lvlText w:val="%9."/>
      <w:lvlJc w:val="right"/>
      <w:pPr>
        <w:ind w:left="6480" w:hanging="180"/>
      </w:pPr>
    </w:lvl>
  </w:abstractNum>
  <w:abstractNum w:abstractNumId="14" w15:restartNumberingAfterBreak="0">
    <w:nsid w:val="2697BEDB"/>
    <w:multiLevelType w:val="hybridMultilevel"/>
    <w:tmpl w:val="5F32777E"/>
    <w:lvl w:ilvl="0" w:tplc="FEC21DC4">
      <w:start w:val="1"/>
      <w:numFmt w:val="bullet"/>
      <w:lvlText w:val=""/>
      <w:lvlJc w:val="left"/>
      <w:pPr>
        <w:tabs>
          <w:tab w:val="num" w:pos="720"/>
        </w:tabs>
        <w:ind w:left="720" w:hanging="360"/>
      </w:pPr>
      <w:rPr>
        <w:rFonts w:ascii="Symbol" w:hAnsi="Symbol" w:cs="Symbol" w:hint="default"/>
      </w:rPr>
    </w:lvl>
    <w:lvl w:ilvl="1" w:tplc="67DCB8F4">
      <w:start w:val="1"/>
      <w:numFmt w:val="bullet"/>
      <w:lvlText w:val="o"/>
      <w:lvlJc w:val="left"/>
      <w:pPr>
        <w:tabs>
          <w:tab w:val="num" w:pos="1440"/>
        </w:tabs>
        <w:ind w:left="1440" w:hanging="360"/>
      </w:pPr>
      <w:rPr>
        <w:rFonts w:ascii="Courier New" w:hAnsi="Courier New" w:cs="Courier New" w:hint="default"/>
      </w:rPr>
    </w:lvl>
    <w:lvl w:ilvl="2" w:tplc="1D38369C">
      <w:start w:val="1"/>
      <w:numFmt w:val="bullet"/>
      <w:lvlText w:val=""/>
      <w:lvlJc w:val="left"/>
      <w:pPr>
        <w:tabs>
          <w:tab w:val="num" w:pos="2160"/>
        </w:tabs>
        <w:ind w:left="2160" w:hanging="360"/>
      </w:pPr>
      <w:rPr>
        <w:rFonts w:ascii="Wingdings" w:hAnsi="Wingdings" w:cs="Wingdings" w:hint="default"/>
      </w:rPr>
    </w:lvl>
    <w:lvl w:ilvl="3" w:tplc="71A65D16">
      <w:start w:val="1"/>
      <w:numFmt w:val="bullet"/>
      <w:lvlText w:val=""/>
      <w:lvlJc w:val="left"/>
      <w:pPr>
        <w:tabs>
          <w:tab w:val="num" w:pos="2880"/>
        </w:tabs>
        <w:ind w:left="2880" w:hanging="360"/>
      </w:pPr>
      <w:rPr>
        <w:rFonts w:ascii="Symbol" w:hAnsi="Symbol" w:cs="Symbol" w:hint="default"/>
      </w:rPr>
    </w:lvl>
    <w:lvl w:ilvl="4" w:tplc="8D0C99E0">
      <w:start w:val="1"/>
      <w:numFmt w:val="bullet"/>
      <w:lvlText w:val="o"/>
      <w:lvlJc w:val="left"/>
      <w:pPr>
        <w:tabs>
          <w:tab w:val="num" w:pos="3600"/>
        </w:tabs>
        <w:ind w:left="3600" w:hanging="360"/>
      </w:pPr>
      <w:rPr>
        <w:rFonts w:ascii="Courier New" w:hAnsi="Courier New" w:cs="Courier New" w:hint="default"/>
      </w:rPr>
    </w:lvl>
    <w:lvl w:ilvl="5" w:tplc="A07A0284">
      <w:start w:val="1"/>
      <w:numFmt w:val="bullet"/>
      <w:lvlText w:val=""/>
      <w:lvlJc w:val="left"/>
      <w:pPr>
        <w:tabs>
          <w:tab w:val="num" w:pos="4320"/>
        </w:tabs>
        <w:ind w:left="4320" w:hanging="360"/>
      </w:pPr>
      <w:rPr>
        <w:rFonts w:ascii="Wingdings" w:hAnsi="Wingdings" w:cs="Wingdings" w:hint="default"/>
      </w:rPr>
    </w:lvl>
    <w:lvl w:ilvl="6" w:tplc="CEE831F2">
      <w:start w:val="1"/>
      <w:numFmt w:val="bullet"/>
      <w:lvlText w:val=""/>
      <w:lvlJc w:val="left"/>
      <w:pPr>
        <w:tabs>
          <w:tab w:val="num" w:pos="5040"/>
        </w:tabs>
        <w:ind w:left="5040" w:hanging="360"/>
      </w:pPr>
      <w:rPr>
        <w:rFonts w:ascii="Symbol" w:hAnsi="Symbol" w:cs="Symbol" w:hint="default"/>
      </w:rPr>
    </w:lvl>
    <w:lvl w:ilvl="7" w:tplc="777C3CD4">
      <w:start w:val="1"/>
      <w:numFmt w:val="bullet"/>
      <w:lvlText w:val="o"/>
      <w:lvlJc w:val="left"/>
      <w:pPr>
        <w:tabs>
          <w:tab w:val="num" w:pos="5760"/>
        </w:tabs>
        <w:ind w:left="5760" w:hanging="360"/>
      </w:pPr>
      <w:rPr>
        <w:rFonts w:ascii="Courier New" w:hAnsi="Courier New" w:cs="Courier New" w:hint="default"/>
      </w:rPr>
    </w:lvl>
    <w:lvl w:ilvl="8" w:tplc="FB7EC8C6">
      <w:start w:val="1"/>
      <w:numFmt w:val="bullet"/>
      <w:lvlText w:val=""/>
      <w:lvlJc w:val="left"/>
      <w:pPr>
        <w:tabs>
          <w:tab w:val="num" w:pos="6480"/>
        </w:tabs>
        <w:ind w:left="6480" w:hanging="360"/>
      </w:pPr>
      <w:rPr>
        <w:rFonts w:ascii="Wingdings" w:hAnsi="Wingdings" w:cs="Wingdings" w:hint="default"/>
      </w:rPr>
    </w:lvl>
  </w:abstractNum>
  <w:abstractNum w:abstractNumId="15" w15:restartNumberingAfterBreak="0">
    <w:nsid w:val="3E761701"/>
    <w:multiLevelType w:val="multilevel"/>
    <w:tmpl w:val="50FAFCA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15:restartNumberingAfterBreak="0">
    <w:nsid w:val="411F88FF"/>
    <w:multiLevelType w:val="multilevel"/>
    <w:tmpl w:val="B636CBC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15:restartNumberingAfterBreak="0">
    <w:nsid w:val="4D9108CC"/>
    <w:multiLevelType w:val="hybridMultilevel"/>
    <w:tmpl w:val="3356FA9E"/>
    <w:lvl w:ilvl="0" w:tplc="B4466D70">
      <w:start w:val="1"/>
      <w:numFmt w:val="bullet"/>
      <w:lvlText w:val=""/>
      <w:lvlJc w:val="left"/>
      <w:pPr>
        <w:tabs>
          <w:tab w:val="num" w:pos="720"/>
        </w:tabs>
        <w:ind w:left="720" w:hanging="360"/>
      </w:pPr>
      <w:rPr>
        <w:rFonts w:ascii="Symbol" w:hAnsi="Symbol" w:cs="Symbol" w:hint="default"/>
      </w:rPr>
    </w:lvl>
    <w:lvl w:ilvl="1" w:tplc="EADA5284">
      <w:start w:val="1"/>
      <w:numFmt w:val="bullet"/>
      <w:lvlText w:val="o"/>
      <w:lvlJc w:val="left"/>
      <w:pPr>
        <w:tabs>
          <w:tab w:val="num" w:pos="1440"/>
        </w:tabs>
        <w:ind w:left="1440" w:hanging="360"/>
      </w:pPr>
      <w:rPr>
        <w:rFonts w:ascii="Courier New" w:hAnsi="Courier New" w:cs="Courier New" w:hint="default"/>
      </w:rPr>
    </w:lvl>
    <w:lvl w:ilvl="2" w:tplc="FE082C04">
      <w:start w:val="1"/>
      <w:numFmt w:val="bullet"/>
      <w:lvlText w:val=""/>
      <w:lvlJc w:val="left"/>
      <w:pPr>
        <w:tabs>
          <w:tab w:val="num" w:pos="2160"/>
        </w:tabs>
        <w:ind w:left="2160" w:hanging="360"/>
      </w:pPr>
      <w:rPr>
        <w:rFonts w:ascii="Wingdings" w:hAnsi="Wingdings" w:cs="Wingdings" w:hint="default"/>
      </w:rPr>
    </w:lvl>
    <w:lvl w:ilvl="3" w:tplc="10866A3E">
      <w:start w:val="1"/>
      <w:numFmt w:val="bullet"/>
      <w:lvlText w:val=""/>
      <w:lvlJc w:val="left"/>
      <w:pPr>
        <w:tabs>
          <w:tab w:val="num" w:pos="2880"/>
        </w:tabs>
        <w:ind w:left="2880" w:hanging="360"/>
      </w:pPr>
      <w:rPr>
        <w:rFonts w:ascii="Symbol" w:hAnsi="Symbol" w:cs="Symbol" w:hint="default"/>
      </w:rPr>
    </w:lvl>
    <w:lvl w:ilvl="4" w:tplc="61A679E8">
      <w:start w:val="1"/>
      <w:numFmt w:val="bullet"/>
      <w:lvlText w:val="o"/>
      <w:lvlJc w:val="left"/>
      <w:pPr>
        <w:tabs>
          <w:tab w:val="num" w:pos="3600"/>
        </w:tabs>
        <w:ind w:left="3600" w:hanging="360"/>
      </w:pPr>
      <w:rPr>
        <w:rFonts w:ascii="Courier New" w:hAnsi="Courier New" w:cs="Courier New" w:hint="default"/>
      </w:rPr>
    </w:lvl>
    <w:lvl w:ilvl="5" w:tplc="264A4502">
      <w:start w:val="1"/>
      <w:numFmt w:val="bullet"/>
      <w:lvlText w:val=""/>
      <w:lvlJc w:val="left"/>
      <w:pPr>
        <w:tabs>
          <w:tab w:val="num" w:pos="4320"/>
        </w:tabs>
        <w:ind w:left="4320" w:hanging="360"/>
      </w:pPr>
      <w:rPr>
        <w:rFonts w:ascii="Wingdings" w:hAnsi="Wingdings" w:cs="Wingdings" w:hint="default"/>
      </w:rPr>
    </w:lvl>
    <w:lvl w:ilvl="6" w:tplc="B06492EE">
      <w:start w:val="1"/>
      <w:numFmt w:val="bullet"/>
      <w:lvlText w:val=""/>
      <w:lvlJc w:val="left"/>
      <w:pPr>
        <w:tabs>
          <w:tab w:val="num" w:pos="5040"/>
        </w:tabs>
        <w:ind w:left="5040" w:hanging="360"/>
      </w:pPr>
      <w:rPr>
        <w:rFonts w:ascii="Symbol" w:hAnsi="Symbol" w:cs="Symbol" w:hint="default"/>
      </w:rPr>
    </w:lvl>
    <w:lvl w:ilvl="7" w:tplc="1812D116">
      <w:start w:val="1"/>
      <w:numFmt w:val="bullet"/>
      <w:lvlText w:val="o"/>
      <w:lvlJc w:val="left"/>
      <w:pPr>
        <w:tabs>
          <w:tab w:val="num" w:pos="5760"/>
        </w:tabs>
        <w:ind w:left="5760" w:hanging="360"/>
      </w:pPr>
      <w:rPr>
        <w:rFonts w:ascii="Courier New" w:hAnsi="Courier New" w:cs="Courier New" w:hint="default"/>
      </w:rPr>
    </w:lvl>
    <w:lvl w:ilvl="8" w:tplc="C38083E0">
      <w:start w:val="1"/>
      <w:numFmt w:val="bullet"/>
      <w:lvlText w:val=""/>
      <w:lvlJc w:val="left"/>
      <w:pPr>
        <w:tabs>
          <w:tab w:val="num" w:pos="6480"/>
        </w:tabs>
        <w:ind w:left="6480" w:hanging="360"/>
      </w:pPr>
      <w:rPr>
        <w:rFonts w:ascii="Wingdings" w:hAnsi="Wingdings" w:cs="Wingdings" w:hint="default"/>
      </w:rPr>
    </w:lvl>
  </w:abstractNum>
  <w:abstractNum w:abstractNumId="18" w15:restartNumberingAfterBreak="0">
    <w:nsid w:val="52D299FA"/>
    <w:multiLevelType w:val="multilevel"/>
    <w:tmpl w:val="4EE65A9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15:restartNumberingAfterBreak="0">
    <w:nsid w:val="53232BBD"/>
    <w:multiLevelType w:val="hybridMultilevel"/>
    <w:tmpl w:val="4B3490D8"/>
    <w:lvl w:ilvl="0" w:tplc="DEC48F6A">
      <w:start w:val="1"/>
      <w:numFmt w:val="decimal"/>
      <w:lvlText w:val="%1."/>
      <w:lvlJc w:val="left"/>
      <w:pPr>
        <w:ind w:left="720" w:hanging="360"/>
      </w:pPr>
      <w:rPr>
        <w:rFonts w:hint="default"/>
      </w:rPr>
    </w:lvl>
    <w:lvl w:ilvl="1" w:tplc="7118167A" w:tentative="1">
      <w:start w:val="1"/>
      <w:numFmt w:val="lowerLetter"/>
      <w:lvlText w:val="%2."/>
      <w:lvlJc w:val="left"/>
      <w:pPr>
        <w:ind w:left="1440" w:hanging="360"/>
      </w:pPr>
    </w:lvl>
    <w:lvl w:ilvl="2" w:tplc="AB882250" w:tentative="1">
      <w:start w:val="1"/>
      <w:numFmt w:val="lowerRoman"/>
      <w:lvlText w:val="%3."/>
      <w:lvlJc w:val="right"/>
      <w:pPr>
        <w:ind w:left="2160" w:hanging="180"/>
      </w:pPr>
    </w:lvl>
    <w:lvl w:ilvl="3" w:tplc="9B6E3382" w:tentative="1">
      <w:start w:val="1"/>
      <w:numFmt w:val="decimal"/>
      <w:lvlText w:val="%4."/>
      <w:lvlJc w:val="left"/>
      <w:pPr>
        <w:ind w:left="2880" w:hanging="360"/>
      </w:pPr>
    </w:lvl>
    <w:lvl w:ilvl="4" w:tplc="50286728" w:tentative="1">
      <w:start w:val="1"/>
      <w:numFmt w:val="lowerLetter"/>
      <w:lvlText w:val="%5."/>
      <w:lvlJc w:val="left"/>
      <w:pPr>
        <w:ind w:left="3600" w:hanging="360"/>
      </w:pPr>
    </w:lvl>
    <w:lvl w:ilvl="5" w:tplc="DD0A4652" w:tentative="1">
      <w:start w:val="1"/>
      <w:numFmt w:val="lowerRoman"/>
      <w:lvlText w:val="%6."/>
      <w:lvlJc w:val="right"/>
      <w:pPr>
        <w:ind w:left="4320" w:hanging="180"/>
      </w:pPr>
    </w:lvl>
    <w:lvl w:ilvl="6" w:tplc="2200CB40" w:tentative="1">
      <w:start w:val="1"/>
      <w:numFmt w:val="decimal"/>
      <w:lvlText w:val="%7."/>
      <w:lvlJc w:val="left"/>
      <w:pPr>
        <w:ind w:left="5040" w:hanging="360"/>
      </w:pPr>
    </w:lvl>
    <w:lvl w:ilvl="7" w:tplc="F73EC772" w:tentative="1">
      <w:start w:val="1"/>
      <w:numFmt w:val="lowerLetter"/>
      <w:lvlText w:val="%8."/>
      <w:lvlJc w:val="left"/>
      <w:pPr>
        <w:ind w:left="5760" w:hanging="360"/>
      </w:pPr>
    </w:lvl>
    <w:lvl w:ilvl="8" w:tplc="1510637E" w:tentative="1">
      <w:start w:val="1"/>
      <w:numFmt w:val="lowerRoman"/>
      <w:lvlText w:val="%9."/>
      <w:lvlJc w:val="right"/>
      <w:pPr>
        <w:ind w:left="6480" w:hanging="180"/>
      </w:pPr>
    </w:lvl>
  </w:abstractNum>
  <w:abstractNum w:abstractNumId="20" w15:restartNumberingAfterBreak="0">
    <w:nsid w:val="656B07D4"/>
    <w:multiLevelType w:val="hybridMultilevel"/>
    <w:tmpl w:val="F8020AA0"/>
    <w:lvl w:ilvl="0" w:tplc="CBE4635A">
      <w:start w:val="51"/>
      <w:numFmt w:val="bullet"/>
      <w:lvlText w:val="•"/>
      <w:lvlJc w:val="left"/>
      <w:pPr>
        <w:ind w:left="1060" w:hanging="700"/>
      </w:pPr>
      <w:rPr>
        <w:rFonts w:ascii="Arial" w:eastAsia="Arial" w:hAnsi="Arial" w:cs="Arial" w:hint="default"/>
      </w:rPr>
    </w:lvl>
    <w:lvl w:ilvl="1" w:tplc="F2B81D08" w:tentative="1">
      <w:start w:val="1"/>
      <w:numFmt w:val="bullet"/>
      <w:lvlText w:val="o"/>
      <w:lvlJc w:val="left"/>
      <w:pPr>
        <w:ind w:left="1440" w:hanging="360"/>
      </w:pPr>
      <w:rPr>
        <w:rFonts w:ascii="Courier New" w:hAnsi="Courier New" w:cs="Courier New" w:hint="default"/>
      </w:rPr>
    </w:lvl>
    <w:lvl w:ilvl="2" w:tplc="FE5CBC08" w:tentative="1">
      <w:start w:val="1"/>
      <w:numFmt w:val="bullet"/>
      <w:lvlText w:val=""/>
      <w:lvlJc w:val="left"/>
      <w:pPr>
        <w:ind w:left="2160" w:hanging="360"/>
      </w:pPr>
      <w:rPr>
        <w:rFonts w:ascii="Wingdings" w:hAnsi="Wingdings" w:hint="default"/>
      </w:rPr>
    </w:lvl>
    <w:lvl w:ilvl="3" w:tplc="0D1A052A" w:tentative="1">
      <w:start w:val="1"/>
      <w:numFmt w:val="bullet"/>
      <w:lvlText w:val=""/>
      <w:lvlJc w:val="left"/>
      <w:pPr>
        <w:ind w:left="2880" w:hanging="360"/>
      </w:pPr>
      <w:rPr>
        <w:rFonts w:ascii="Symbol" w:hAnsi="Symbol" w:hint="default"/>
      </w:rPr>
    </w:lvl>
    <w:lvl w:ilvl="4" w:tplc="87C03A18" w:tentative="1">
      <w:start w:val="1"/>
      <w:numFmt w:val="bullet"/>
      <w:lvlText w:val="o"/>
      <w:lvlJc w:val="left"/>
      <w:pPr>
        <w:ind w:left="3600" w:hanging="360"/>
      </w:pPr>
      <w:rPr>
        <w:rFonts w:ascii="Courier New" w:hAnsi="Courier New" w:cs="Courier New" w:hint="default"/>
      </w:rPr>
    </w:lvl>
    <w:lvl w:ilvl="5" w:tplc="F49EED74" w:tentative="1">
      <w:start w:val="1"/>
      <w:numFmt w:val="bullet"/>
      <w:lvlText w:val=""/>
      <w:lvlJc w:val="left"/>
      <w:pPr>
        <w:ind w:left="4320" w:hanging="360"/>
      </w:pPr>
      <w:rPr>
        <w:rFonts w:ascii="Wingdings" w:hAnsi="Wingdings" w:hint="default"/>
      </w:rPr>
    </w:lvl>
    <w:lvl w:ilvl="6" w:tplc="12D6191A" w:tentative="1">
      <w:start w:val="1"/>
      <w:numFmt w:val="bullet"/>
      <w:lvlText w:val=""/>
      <w:lvlJc w:val="left"/>
      <w:pPr>
        <w:ind w:left="5040" w:hanging="360"/>
      </w:pPr>
      <w:rPr>
        <w:rFonts w:ascii="Symbol" w:hAnsi="Symbol" w:hint="default"/>
      </w:rPr>
    </w:lvl>
    <w:lvl w:ilvl="7" w:tplc="3A4492F4" w:tentative="1">
      <w:start w:val="1"/>
      <w:numFmt w:val="bullet"/>
      <w:lvlText w:val="o"/>
      <w:lvlJc w:val="left"/>
      <w:pPr>
        <w:ind w:left="5760" w:hanging="360"/>
      </w:pPr>
      <w:rPr>
        <w:rFonts w:ascii="Courier New" w:hAnsi="Courier New" w:cs="Courier New" w:hint="default"/>
      </w:rPr>
    </w:lvl>
    <w:lvl w:ilvl="8" w:tplc="3182CD50" w:tentative="1">
      <w:start w:val="1"/>
      <w:numFmt w:val="bullet"/>
      <w:lvlText w:val=""/>
      <w:lvlJc w:val="left"/>
      <w:pPr>
        <w:ind w:left="6480" w:hanging="360"/>
      </w:pPr>
      <w:rPr>
        <w:rFonts w:ascii="Wingdings" w:hAnsi="Wingdings" w:hint="default"/>
      </w:rPr>
    </w:lvl>
  </w:abstractNum>
  <w:abstractNum w:abstractNumId="21" w15:restartNumberingAfterBreak="0">
    <w:nsid w:val="6C28898C"/>
    <w:multiLevelType w:val="multilevel"/>
    <w:tmpl w:val="DBDCFFB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15:restartNumberingAfterBreak="0">
    <w:nsid w:val="74A24322"/>
    <w:multiLevelType w:val="hybridMultilevel"/>
    <w:tmpl w:val="4A027CF2"/>
    <w:lvl w:ilvl="0" w:tplc="853A7962">
      <w:start w:val="1"/>
      <w:numFmt w:val="decimal"/>
      <w:lvlText w:val="%1."/>
      <w:lvlJc w:val="left"/>
      <w:pPr>
        <w:ind w:left="720" w:hanging="360"/>
      </w:pPr>
    </w:lvl>
    <w:lvl w:ilvl="1" w:tplc="01125830" w:tentative="1">
      <w:start w:val="1"/>
      <w:numFmt w:val="lowerLetter"/>
      <w:lvlText w:val="%2."/>
      <w:lvlJc w:val="left"/>
      <w:pPr>
        <w:ind w:left="1440" w:hanging="360"/>
      </w:pPr>
    </w:lvl>
    <w:lvl w:ilvl="2" w:tplc="C5C46D4A" w:tentative="1">
      <w:start w:val="1"/>
      <w:numFmt w:val="lowerRoman"/>
      <w:lvlText w:val="%3."/>
      <w:lvlJc w:val="right"/>
      <w:pPr>
        <w:ind w:left="2160" w:hanging="180"/>
      </w:pPr>
    </w:lvl>
    <w:lvl w:ilvl="3" w:tplc="18CA47BA" w:tentative="1">
      <w:start w:val="1"/>
      <w:numFmt w:val="decimal"/>
      <w:lvlText w:val="%4."/>
      <w:lvlJc w:val="left"/>
      <w:pPr>
        <w:ind w:left="2880" w:hanging="360"/>
      </w:pPr>
    </w:lvl>
    <w:lvl w:ilvl="4" w:tplc="1162230E" w:tentative="1">
      <w:start w:val="1"/>
      <w:numFmt w:val="lowerLetter"/>
      <w:lvlText w:val="%5."/>
      <w:lvlJc w:val="left"/>
      <w:pPr>
        <w:ind w:left="3600" w:hanging="360"/>
      </w:pPr>
    </w:lvl>
    <w:lvl w:ilvl="5" w:tplc="55E819A0" w:tentative="1">
      <w:start w:val="1"/>
      <w:numFmt w:val="lowerRoman"/>
      <w:lvlText w:val="%6."/>
      <w:lvlJc w:val="right"/>
      <w:pPr>
        <w:ind w:left="4320" w:hanging="180"/>
      </w:pPr>
    </w:lvl>
    <w:lvl w:ilvl="6" w:tplc="5AD27CF4" w:tentative="1">
      <w:start w:val="1"/>
      <w:numFmt w:val="decimal"/>
      <w:lvlText w:val="%7."/>
      <w:lvlJc w:val="left"/>
      <w:pPr>
        <w:ind w:left="5040" w:hanging="360"/>
      </w:pPr>
    </w:lvl>
    <w:lvl w:ilvl="7" w:tplc="2E5CCD88" w:tentative="1">
      <w:start w:val="1"/>
      <w:numFmt w:val="lowerLetter"/>
      <w:lvlText w:val="%8."/>
      <w:lvlJc w:val="left"/>
      <w:pPr>
        <w:ind w:left="5760" w:hanging="360"/>
      </w:pPr>
    </w:lvl>
    <w:lvl w:ilvl="8" w:tplc="59708C72" w:tentative="1">
      <w:start w:val="1"/>
      <w:numFmt w:val="lowerRoman"/>
      <w:lvlText w:val="%9."/>
      <w:lvlJc w:val="right"/>
      <w:pPr>
        <w:ind w:left="6480" w:hanging="180"/>
      </w:pPr>
    </w:lvl>
  </w:abstractNum>
  <w:abstractNum w:abstractNumId="23" w15:restartNumberingAfterBreak="0">
    <w:nsid w:val="7543589D"/>
    <w:multiLevelType w:val="multilevel"/>
    <w:tmpl w:val="BF5E278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15:restartNumberingAfterBreak="0">
    <w:nsid w:val="756F6BB5"/>
    <w:multiLevelType w:val="hybridMultilevel"/>
    <w:tmpl w:val="A3CAF896"/>
    <w:lvl w:ilvl="0" w:tplc="9FE8F5DE">
      <w:start w:val="1"/>
      <w:numFmt w:val="bullet"/>
      <w:lvlText w:val=""/>
      <w:lvlJc w:val="left"/>
      <w:pPr>
        <w:ind w:left="720" w:hanging="360"/>
      </w:pPr>
      <w:rPr>
        <w:rFonts w:ascii="Symbol" w:hAnsi="Symbol" w:hint="default"/>
      </w:rPr>
    </w:lvl>
    <w:lvl w:ilvl="1" w:tplc="EE34FAB4" w:tentative="1">
      <w:start w:val="1"/>
      <w:numFmt w:val="bullet"/>
      <w:lvlText w:val="o"/>
      <w:lvlJc w:val="left"/>
      <w:pPr>
        <w:ind w:left="1440" w:hanging="360"/>
      </w:pPr>
      <w:rPr>
        <w:rFonts w:ascii="Courier New" w:hAnsi="Courier New" w:cs="Courier New" w:hint="default"/>
      </w:rPr>
    </w:lvl>
    <w:lvl w:ilvl="2" w:tplc="79D8B7A6" w:tentative="1">
      <w:start w:val="1"/>
      <w:numFmt w:val="bullet"/>
      <w:lvlText w:val=""/>
      <w:lvlJc w:val="left"/>
      <w:pPr>
        <w:ind w:left="2160" w:hanging="360"/>
      </w:pPr>
      <w:rPr>
        <w:rFonts w:ascii="Wingdings" w:hAnsi="Wingdings" w:hint="default"/>
      </w:rPr>
    </w:lvl>
    <w:lvl w:ilvl="3" w:tplc="FA66CA68" w:tentative="1">
      <w:start w:val="1"/>
      <w:numFmt w:val="bullet"/>
      <w:lvlText w:val=""/>
      <w:lvlJc w:val="left"/>
      <w:pPr>
        <w:ind w:left="2880" w:hanging="360"/>
      </w:pPr>
      <w:rPr>
        <w:rFonts w:ascii="Symbol" w:hAnsi="Symbol" w:hint="default"/>
      </w:rPr>
    </w:lvl>
    <w:lvl w:ilvl="4" w:tplc="82F8FA38" w:tentative="1">
      <w:start w:val="1"/>
      <w:numFmt w:val="bullet"/>
      <w:lvlText w:val="o"/>
      <w:lvlJc w:val="left"/>
      <w:pPr>
        <w:ind w:left="3600" w:hanging="360"/>
      </w:pPr>
      <w:rPr>
        <w:rFonts w:ascii="Courier New" w:hAnsi="Courier New" w:cs="Courier New" w:hint="default"/>
      </w:rPr>
    </w:lvl>
    <w:lvl w:ilvl="5" w:tplc="C3B81816" w:tentative="1">
      <w:start w:val="1"/>
      <w:numFmt w:val="bullet"/>
      <w:lvlText w:val=""/>
      <w:lvlJc w:val="left"/>
      <w:pPr>
        <w:ind w:left="4320" w:hanging="360"/>
      </w:pPr>
      <w:rPr>
        <w:rFonts w:ascii="Wingdings" w:hAnsi="Wingdings" w:hint="default"/>
      </w:rPr>
    </w:lvl>
    <w:lvl w:ilvl="6" w:tplc="8BEEB900" w:tentative="1">
      <w:start w:val="1"/>
      <w:numFmt w:val="bullet"/>
      <w:lvlText w:val=""/>
      <w:lvlJc w:val="left"/>
      <w:pPr>
        <w:ind w:left="5040" w:hanging="360"/>
      </w:pPr>
      <w:rPr>
        <w:rFonts w:ascii="Symbol" w:hAnsi="Symbol" w:hint="default"/>
      </w:rPr>
    </w:lvl>
    <w:lvl w:ilvl="7" w:tplc="C53C093E" w:tentative="1">
      <w:start w:val="1"/>
      <w:numFmt w:val="bullet"/>
      <w:lvlText w:val="o"/>
      <w:lvlJc w:val="left"/>
      <w:pPr>
        <w:ind w:left="5760" w:hanging="360"/>
      </w:pPr>
      <w:rPr>
        <w:rFonts w:ascii="Courier New" w:hAnsi="Courier New" w:cs="Courier New" w:hint="default"/>
      </w:rPr>
    </w:lvl>
    <w:lvl w:ilvl="8" w:tplc="E3BAE716" w:tentative="1">
      <w:start w:val="1"/>
      <w:numFmt w:val="bullet"/>
      <w:lvlText w:val=""/>
      <w:lvlJc w:val="left"/>
      <w:pPr>
        <w:ind w:left="6480" w:hanging="360"/>
      </w:pPr>
      <w:rPr>
        <w:rFonts w:ascii="Wingdings" w:hAnsi="Wingdings" w:hint="default"/>
      </w:rPr>
    </w:lvl>
  </w:abstractNum>
  <w:num w:numId="1" w16cid:durableId="44960494">
    <w:abstractNumId w:val="15"/>
  </w:num>
  <w:num w:numId="2" w16cid:durableId="1097752484">
    <w:abstractNumId w:val="10"/>
  </w:num>
  <w:num w:numId="3" w16cid:durableId="1473447794">
    <w:abstractNumId w:val="2"/>
  </w:num>
  <w:num w:numId="4" w16cid:durableId="530807418">
    <w:abstractNumId w:val="1"/>
  </w:num>
  <w:num w:numId="5" w16cid:durableId="216403330">
    <w:abstractNumId w:val="16"/>
  </w:num>
  <w:num w:numId="6" w16cid:durableId="1211115470">
    <w:abstractNumId w:val="23"/>
  </w:num>
  <w:num w:numId="7" w16cid:durableId="628828035">
    <w:abstractNumId w:val="9"/>
  </w:num>
  <w:num w:numId="8" w16cid:durableId="2092584653">
    <w:abstractNumId w:val="17"/>
  </w:num>
  <w:num w:numId="9" w16cid:durableId="1642685105">
    <w:abstractNumId w:val="7"/>
  </w:num>
  <w:num w:numId="10" w16cid:durableId="572859296">
    <w:abstractNumId w:val="14"/>
  </w:num>
  <w:num w:numId="11" w16cid:durableId="309361113">
    <w:abstractNumId w:val="5"/>
  </w:num>
  <w:num w:numId="12" w16cid:durableId="1268150725">
    <w:abstractNumId w:val="8"/>
  </w:num>
  <w:num w:numId="13" w16cid:durableId="13313882">
    <w:abstractNumId w:val="0"/>
  </w:num>
  <w:num w:numId="14" w16cid:durableId="1194925103">
    <w:abstractNumId w:val="11"/>
  </w:num>
  <w:num w:numId="15" w16cid:durableId="61175340">
    <w:abstractNumId w:val="6"/>
  </w:num>
  <w:num w:numId="16" w16cid:durableId="589896610">
    <w:abstractNumId w:val="18"/>
  </w:num>
  <w:num w:numId="17" w16cid:durableId="858158630">
    <w:abstractNumId w:val="4"/>
  </w:num>
  <w:num w:numId="18" w16cid:durableId="490482436">
    <w:abstractNumId w:val="3"/>
  </w:num>
  <w:num w:numId="19" w16cid:durableId="949630085">
    <w:abstractNumId w:val="21"/>
  </w:num>
  <w:num w:numId="20" w16cid:durableId="1667202512">
    <w:abstractNumId w:val="19"/>
  </w:num>
  <w:num w:numId="21" w16cid:durableId="854613407">
    <w:abstractNumId w:val="22"/>
  </w:num>
  <w:num w:numId="22" w16cid:durableId="945426283">
    <w:abstractNumId w:val="12"/>
  </w:num>
  <w:num w:numId="23" w16cid:durableId="2100321998">
    <w:abstractNumId w:val="24"/>
  </w:num>
  <w:num w:numId="24" w16cid:durableId="2040859302">
    <w:abstractNumId w:val="20"/>
  </w:num>
  <w:num w:numId="25" w16cid:durableId="1072385840">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ebresellassie, Estifanos Zenebe">
    <w15:presenceInfo w15:providerId="AD" w15:userId="S::ezg6@gatech.edu::43baaf14-ae15-410a-820b-8324f95c42a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7342"/>
    <w:rsid w:val="000329FC"/>
    <w:rsid w:val="00036FF1"/>
    <w:rsid w:val="00075AB7"/>
    <w:rsid w:val="0009119E"/>
    <w:rsid w:val="00103152"/>
    <w:rsid w:val="00145D1D"/>
    <w:rsid w:val="00153A47"/>
    <w:rsid w:val="00187FF4"/>
    <w:rsid w:val="001D1BAC"/>
    <w:rsid w:val="001E2096"/>
    <w:rsid w:val="002076A7"/>
    <w:rsid w:val="00222A99"/>
    <w:rsid w:val="002272F0"/>
    <w:rsid w:val="0023342C"/>
    <w:rsid w:val="00267342"/>
    <w:rsid w:val="002A552A"/>
    <w:rsid w:val="002D0D0B"/>
    <w:rsid w:val="003276AB"/>
    <w:rsid w:val="003562FC"/>
    <w:rsid w:val="00371715"/>
    <w:rsid w:val="00385A8D"/>
    <w:rsid w:val="003D3DE8"/>
    <w:rsid w:val="00417638"/>
    <w:rsid w:val="00424B10"/>
    <w:rsid w:val="004A21D3"/>
    <w:rsid w:val="004B3A1E"/>
    <w:rsid w:val="00500B9F"/>
    <w:rsid w:val="0053299D"/>
    <w:rsid w:val="005625AB"/>
    <w:rsid w:val="00562BD1"/>
    <w:rsid w:val="005B0359"/>
    <w:rsid w:val="005D679F"/>
    <w:rsid w:val="005F1424"/>
    <w:rsid w:val="00625D2C"/>
    <w:rsid w:val="006747AC"/>
    <w:rsid w:val="006B2311"/>
    <w:rsid w:val="006C6ED5"/>
    <w:rsid w:val="00705141"/>
    <w:rsid w:val="007617FC"/>
    <w:rsid w:val="00764212"/>
    <w:rsid w:val="0078131B"/>
    <w:rsid w:val="0084152C"/>
    <w:rsid w:val="00841F1C"/>
    <w:rsid w:val="00852A8D"/>
    <w:rsid w:val="00854D03"/>
    <w:rsid w:val="008B7E67"/>
    <w:rsid w:val="009218E8"/>
    <w:rsid w:val="00930717"/>
    <w:rsid w:val="009333C8"/>
    <w:rsid w:val="00974329"/>
    <w:rsid w:val="009A00A2"/>
    <w:rsid w:val="009C45AE"/>
    <w:rsid w:val="009E6037"/>
    <w:rsid w:val="00A00938"/>
    <w:rsid w:val="00A021E0"/>
    <w:rsid w:val="00A248C9"/>
    <w:rsid w:val="00A30BE4"/>
    <w:rsid w:val="00A47347"/>
    <w:rsid w:val="00A47FF3"/>
    <w:rsid w:val="00A83609"/>
    <w:rsid w:val="00A966E6"/>
    <w:rsid w:val="00AD4A20"/>
    <w:rsid w:val="00B03E24"/>
    <w:rsid w:val="00B06708"/>
    <w:rsid w:val="00B86BC6"/>
    <w:rsid w:val="00BA44DB"/>
    <w:rsid w:val="00BD108A"/>
    <w:rsid w:val="00C775F5"/>
    <w:rsid w:val="00CB724A"/>
    <w:rsid w:val="00D064D0"/>
    <w:rsid w:val="00D142CA"/>
    <w:rsid w:val="00D350C2"/>
    <w:rsid w:val="00D52614"/>
    <w:rsid w:val="00D62E58"/>
    <w:rsid w:val="00E04CE5"/>
    <w:rsid w:val="00E60170"/>
    <w:rsid w:val="00E64234"/>
    <w:rsid w:val="00E86450"/>
    <w:rsid w:val="00EA39BC"/>
    <w:rsid w:val="00F30A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AC828"/>
  <w15:docId w15:val="{41B7F9B7-1FD5-44BF-9B42-1FA3B9BF2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sid w:val="005C121B"/>
  </w:style>
  <w:style w:type="paragraph" w:styleId="Heading1">
    <w:name w:val="heading 1"/>
    <w:basedOn w:val="Normal"/>
    <w:next w:val="Normal"/>
    <w:link w:val="Heading1Char"/>
    <w:uiPriority w:val="9"/>
    <w:qFormat/>
    <w:rsid w:val="00364FCF"/>
    <w:pPr>
      <w:keepNext/>
      <w:keepLines/>
      <w:spacing w:after="240"/>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7110FE"/>
    <w:pPr>
      <w:keepNext/>
      <w:keepLines/>
      <w:spacing w:before="120" w:after="120"/>
      <w:outlineLvl w:val="1"/>
    </w:pPr>
    <w:rPr>
      <w:rFonts w:eastAsiaTheme="majorEastAsia" w:cstheme="majorBidi"/>
      <w:b/>
      <w:color w:val="000000" w:themeColor="text1"/>
      <w:szCs w:val="33"/>
    </w:rPr>
  </w:style>
  <w:style w:type="paragraph" w:styleId="Heading3">
    <w:name w:val="heading 3"/>
    <w:basedOn w:val="Normal"/>
    <w:next w:val="Normal"/>
    <w:link w:val="Heading3Char"/>
    <w:uiPriority w:val="9"/>
    <w:unhideWhenUsed/>
    <w:qFormat/>
    <w:rsid w:val="007110FE"/>
    <w:pPr>
      <w:spacing w:before="120" w:after="120"/>
      <w:outlineLvl w:val="2"/>
    </w:pPr>
    <w:rPr>
      <w:b/>
      <w:szCs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 w:type="character" w:customStyle="1" w:styleId="HeaderStyle">
    <w:name w:val="Header_Style"/>
    <w:rPr>
      <w:b/>
      <w:bCs/>
      <w:i w:val="0"/>
      <w:iCs w:val="0"/>
      <w:caps w:val="0"/>
      <w:dstrike w:val="0"/>
      <w:sz w:val="32"/>
      <w:szCs w:val="32"/>
    </w:rPr>
  </w:style>
  <w:style w:type="character" w:customStyle="1" w:styleId="TopHeaderStyle">
    <w:name w:val="Top_Header_Style"/>
    <w:rPr>
      <w:i w:val="0"/>
      <w:iCs w:val="0"/>
      <w:caps w:val="0"/>
      <w:dstrike w:val="0"/>
      <w:sz w:val="32"/>
      <w:szCs w:val="32"/>
    </w:rPr>
  </w:style>
  <w:style w:type="character" w:customStyle="1" w:styleId="Titles">
    <w:name w:val="Titles"/>
    <w:rPr>
      <w:rFonts w:ascii="Arial" w:eastAsia="Arial" w:hAnsi="Arial" w:cs="Arial"/>
      <w:b/>
      <w:bCs/>
      <w:sz w:val="44"/>
      <w:szCs w:val="44"/>
    </w:rPr>
  </w:style>
  <w:style w:type="character" w:customStyle="1" w:styleId="CoverNormal">
    <w:name w:val="Cover_Normal"/>
    <w:rPr>
      <w:rFonts w:ascii="Arial" w:eastAsia="Arial" w:hAnsi="Arial" w:cs="Arial"/>
      <w:sz w:val="22"/>
      <w:szCs w:val="22"/>
    </w:rPr>
  </w:style>
  <w:style w:type="character" w:customStyle="1" w:styleId="IcfCoverNormal">
    <w:name w:val="Icf_Cover_Normal"/>
    <w:rPr>
      <w:rFonts w:ascii="Arial" w:eastAsia="Arial" w:hAnsi="Arial" w:cs="Arial"/>
      <w:sz w:val="20"/>
      <w:szCs w:val="20"/>
    </w:rPr>
  </w:style>
  <w:style w:type="character" w:customStyle="1" w:styleId="icffooterNormal">
    <w:name w:val="icf_footer_Normal"/>
    <w:rPr>
      <w:rFonts w:ascii="Arial" w:eastAsia="Arial" w:hAnsi="Arial" w:cs="Arial"/>
      <w:color w:val="ABABAB"/>
      <w:sz w:val="20"/>
      <w:szCs w:val="20"/>
    </w:rPr>
  </w:style>
  <w:style w:type="character" w:customStyle="1" w:styleId="Confidentiality">
    <w:name w:val="Confidentiality"/>
    <w:rPr>
      <w:rFonts w:ascii="Arial" w:eastAsia="Arial" w:hAnsi="Arial" w:cs="Arial"/>
      <w:sz w:val="18"/>
      <w:szCs w:val="18"/>
    </w:rPr>
  </w:style>
  <w:style w:type="character" w:customStyle="1" w:styleId="NormalFont">
    <w:name w:val="Normal_Font"/>
    <w:rPr>
      <w:rFonts w:ascii="Arial" w:eastAsia="Arial" w:hAnsi="Arial" w:cs="Arial"/>
      <w:sz w:val="22"/>
      <w:szCs w:val="22"/>
    </w:rPr>
  </w:style>
  <w:style w:type="character" w:customStyle="1" w:styleId="h1">
    <w:name w:val="h1"/>
    <w:rPr>
      <w:rFonts w:ascii="Arial" w:eastAsia="Arial" w:hAnsi="Arial" w:cs="Arial"/>
      <w:b/>
      <w:bCs/>
      <w:sz w:val="40"/>
      <w:szCs w:val="40"/>
    </w:rPr>
  </w:style>
  <w:style w:type="character" w:customStyle="1" w:styleId="h2">
    <w:name w:val="h2"/>
    <w:rPr>
      <w:rFonts w:ascii="Arial" w:eastAsia="Arial" w:hAnsi="Arial" w:cs="Arial"/>
      <w:b/>
      <w:bCs/>
      <w:sz w:val="24"/>
      <w:szCs w:val="24"/>
    </w:rPr>
  </w:style>
  <w:style w:type="character" w:customStyle="1" w:styleId="h3">
    <w:name w:val="h3"/>
    <w:rPr>
      <w:rFonts w:ascii="Arial" w:eastAsia="Arial" w:hAnsi="Arial" w:cs="Arial"/>
      <w:b/>
      <w:bCs/>
      <w:sz w:val="22"/>
      <w:szCs w:val="22"/>
    </w:rPr>
  </w:style>
  <w:style w:type="character" w:customStyle="1" w:styleId="SynopsisTitle">
    <w:name w:val="Synopsis_Title"/>
    <w:rPr>
      <w:rFonts w:ascii="Arial" w:eastAsia="Arial" w:hAnsi="Arial" w:cs="Arial"/>
      <w:b/>
      <w:bCs/>
      <w:sz w:val="24"/>
      <w:szCs w:val="24"/>
    </w:rPr>
  </w:style>
  <w:style w:type="character" w:customStyle="1" w:styleId="h2Cover">
    <w:name w:val="h2_Cover"/>
    <w:rPr>
      <w:rFonts w:ascii="Arial" w:eastAsia="Arial" w:hAnsi="Arial" w:cs="Arial"/>
      <w:b/>
      <w:bCs/>
      <w:sz w:val="22"/>
      <w:szCs w:val="22"/>
    </w:rPr>
  </w:style>
  <w:style w:type="character" w:customStyle="1" w:styleId="TableHeaderText">
    <w:name w:val="Table_Header_Text"/>
    <w:rPr>
      <w:rFonts w:ascii="Arial" w:eastAsia="Arial" w:hAnsi="Arial" w:cs="Arial"/>
      <w:b/>
      <w:bCs/>
      <w:sz w:val="24"/>
      <w:szCs w:val="24"/>
    </w:rPr>
  </w:style>
  <w:style w:type="character" w:customStyle="1" w:styleId="TableText">
    <w:name w:val="Table_Text"/>
    <w:rPr>
      <w:rFonts w:ascii="Arial" w:eastAsia="Arial" w:hAnsi="Arial" w:cs="Arial"/>
      <w:sz w:val="22"/>
      <w:szCs w:val="22"/>
    </w:rPr>
  </w:style>
  <w:style w:type="table" w:customStyle="1" w:styleId="TableWithoutBorder">
    <w:name w:val="Table_Without_Border"/>
    <w:uiPriority w:val="99"/>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50" w:type="dxa"/>
        <w:left w:w="50" w:type="dxa"/>
        <w:bottom w:w="50" w:type="dxa"/>
        <w:right w:w="50" w:type="dxa"/>
      </w:tblCellMar>
    </w:tblPr>
  </w:style>
  <w:style w:type="character" w:customStyle="1" w:styleId="tableheader">
    <w:name w:val="tableheader"/>
    <w:rPr>
      <w:rFonts w:ascii="Arial" w:eastAsia="Arial" w:hAnsi="Arial" w:cs="Arial"/>
      <w:b w:val="0"/>
      <w:bCs w:val="0"/>
      <w:color w:val="333333"/>
      <w:sz w:val="20"/>
      <w:szCs w:val="20"/>
    </w:rPr>
  </w:style>
  <w:style w:type="character" w:customStyle="1" w:styleId="icftableheader">
    <w:name w:val="icftableheader"/>
    <w:rPr>
      <w:rFonts w:ascii="Arial" w:eastAsia="Arial" w:hAnsi="Arial" w:cs="Arial"/>
      <w:b w:val="0"/>
      <w:bCs w:val="0"/>
      <w:color w:val="333333"/>
      <w:sz w:val="16"/>
      <w:szCs w:val="16"/>
    </w:rPr>
  </w:style>
  <w:style w:type="table" w:customStyle="1" w:styleId="HeaderStyledTable">
    <w:name w:val="Header Styled Table"/>
    <w:uiPriority w:val="99"/>
    <w:tblPr>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CellMar>
        <w:top w:w="140" w:type="dxa"/>
        <w:left w:w="80" w:type="dxa"/>
        <w:bottom w:w="0" w:type="dxa"/>
        <w:right w:w="80" w:type="dxa"/>
      </w:tblCellMar>
    </w:tblPr>
    <w:tblStylePr w:type="firstRow">
      <w:tblPr/>
      <w:tcPr>
        <w:tcBorders>
          <w:bottom w:val="single" w:sz="18" w:space="0" w:color="CCCCCC"/>
        </w:tcBorders>
        <w:shd w:val="clear" w:color="auto" w:fill="F7F7F7"/>
      </w:tcPr>
    </w:tblStylePr>
  </w:style>
  <w:style w:type="paragraph" w:customStyle="1" w:styleId="SpacingZeroAlignCenter">
    <w:name w:val="Spacing_Zero_Align_Center"/>
    <w:basedOn w:val="Normal"/>
    <w:pPr>
      <w:jc w:val="center"/>
    </w:pPr>
  </w:style>
  <w:style w:type="paragraph" w:customStyle="1" w:styleId="SpacingZeroAlignleft">
    <w:name w:val="Spacing_Zero_Align_left"/>
    <w:basedOn w:val="Normal"/>
  </w:style>
  <w:style w:type="paragraph" w:customStyle="1" w:styleId="SpacingSmallAlignleft">
    <w:name w:val="Spacing_Small_Align_left"/>
    <w:basedOn w:val="Normal"/>
    <w:pPr>
      <w:spacing w:before="120" w:after="120"/>
    </w:pPr>
  </w:style>
  <w:style w:type="paragraph" w:customStyle="1" w:styleId="SpacingSmallAlignCenter">
    <w:name w:val="Spacing_Small_Align_Center"/>
    <w:basedOn w:val="Normal"/>
    <w:pPr>
      <w:jc w:val="center"/>
    </w:pPr>
  </w:style>
  <w:style w:type="paragraph" w:customStyle="1" w:styleId="SpacingMediumAlignCenter">
    <w:name w:val="Spacing_Medium_Align_Center"/>
    <w:basedOn w:val="Normal"/>
    <w:pPr>
      <w:spacing w:after="360"/>
      <w:jc w:val="center"/>
    </w:pPr>
  </w:style>
  <w:style w:type="paragraph" w:customStyle="1" w:styleId="SpacingMediumAfterAlignLeft">
    <w:name w:val="Spacing_Medium_After_Align_Left"/>
    <w:basedOn w:val="Normal"/>
    <w:pPr>
      <w:spacing w:after="240"/>
    </w:pPr>
  </w:style>
  <w:style w:type="paragraph" w:customStyle="1" w:styleId="SpacingLargeAfterAlignCenter">
    <w:name w:val="Spacing_Large_After_Align_Center"/>
    <w:basedOn w:val="Normal"/>
    <w:pPr>
      <w:spacing w:after="480"/>
      <w:jc w:val="center"/>
    </w:pPr>
  </w:style>
  <w:style w:type="paragraph" w:customStyle="1" w:styleId="SpacingZeroAfterAlignCenter">
    <w:name w:val="Spacing_Zero_After_Align_Center"/>
    <w:basedOn w:val="Normal"/>
    <w:pPr>
      <w:jc w:val="center"/>
    </w:pPr>
  </w:style>
  <w:style w:type="paragraph" w:customStyle="1" w:styleId="SpacingLargeAfterAlignLeft">
    <w:name w:val="Spacing_Large_After_Align_Left"/>
    <w:basedOn w:val="Normal"/>
    <w:pPr>
      <w:spacing w:after="500"/>
    </w:pPr>
  </w:style>
  <w:style w:type="paragraph" w:customStyle="1" w:styleId="TableTextAlignLeft">
    <w:name w:val="Table_Text_Align_Left"/>
    <w:basedOn w:val="Normal"/>
    <w:pPr>
      <w:spacing w:before="102" w:after="102"/>
    </w:pPr>
  </w:style>
  <w:style w:type="paragraph" w:customStyle="1" w:styleId="TableTextAlignCenter">
    <w:name w:val="Table_Text_Align_Center"/>
    <w:basedOn w:val="Normal"/>
    <w:pPr>
      <w:spacing w:before="102" w:after="102"/>
    </w:pPr>
  </w:style>
  <w:style w:type="paragraph" w:customStyle="1" w:styleId="FooterStyle">
    <w:name w:val="Footer_Style"/>
    <w:basedOn w:val="Normal"/>
    <w:pPr>
      <w:spacing w:after="100"/>
      <w:jc w:val="center"/>
    </w:pPr>
  </w:style>
  <w:style w:type="table" w:customStyle="1" w:styleId="HeaderTable">
    <w:name w:val="Header Table"/>
    <w:uiPriority w:val="99"/>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50" w:type="dxa"/>
        <w:left w:w="50" w:type="dxa"/>
        <w:bottom w:w="50" w:type="dxa"/>
        <w:right w:w="50" w:type="dxa"/>
      </w:tblCellMar>
    </w:tblPr>
  </w:style>
  <w:style w:type="paragraph" w:customStyle="1" w:styleId="StudyPersonalTableText">
    <w:name w:val="Study_Personal_Table_Text"/>
    <w:basedOn w:val="Normal"/>
  </w:style>
  <w:style w:type="character" w:customStyle="1" w:styleId="DefaultParagraphFontPHPDOCX">
    <w:name w:val="Default Paragraph Font PHPDOCX"/>
    <w:uiPriority w:val="1"/>
    <w:semiHidden/>
    <w:unhideWhenUsed/>
  </w:style>
  <w:style w:type="paragraph" w:customStyle="1" w:styleId="ListParagraphPHPDOCX">
    <w:name w:val="List Paragraph PHPDOCX"/>
    <w:basedOn w:val="Normal"/>
    <w:uiPriority w:val="34"/>
    <w:qFormat/>
    <w:rsid w:val="00DF064E"/>
    <w:pPr>
      <w:ind w:left="720"/>
      <w:contextualSpacing/>
    </w:pPr>
  </w:style>
  <w:style w:type="paragraph" w:customStyle="1" w:styleId="TitlePHPDOCX">
    <w:name w:val="Title PHPDOCX"/>
    <w:basedOn w:val="Normal"/>
    <w:next w:val="Normal"/>
    <w:link w:val="TitleCarPHPDOCX"/>
    <w:uiPriority w:val="10"/>
    <w:qFormat/>
    <w:rsid w:val="00DF064E"/>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arPHPDOCX">
    <w:name w:val="Title Car PHPDOCX"/>
    <w:basedOn w:val="DefaultParagraphFontPHPDOCX"/>
    <w:link w:val="TitlePHPDOCX"/>
    <w:uiPriority w:val="10"/>
    <w:rsid w:val="00DF064E"/>
    <w:rPr>
      <w:rFonts w:asciiTheme="majorHAnsi" w:eastAsiaTheme="majorEastAsia" w:hAnsiTheme="majorHAnsi" w:cstheme="majorBidi"/>
      <w:color w:val="17365D" w:themeColor="text2" w:themeShade="BF"/>
      <w:spacing w:val="5"/>
      <w:kern w:val="28"/>
      <w:sz w:val="52"/>
      <w:szCs w:val="52"/>
    </w:rPr>
  </w:style>
  <w:style w:type="paragraph" w:customStyle="1" w:styleId="SubtitlePHPDOCX">
    <w:name w:val="Subtitle PHPDOCX"/>
    <w:basedOn w:val="Normal"/>
    <w:next w:val="Normal"/>
    <w:link w:val="SubtitleCarPHPDOCX"/>
    <w:uiPriority w:val="11"/>
    <w:qFormat/>
    <w:rsid w:val="00DF064E"/>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arPHPDOCX">
    <w:name w:val="Subtitle Car PHPDOCX"/>
    <w:basedOn w:val="DefaultParagraphFontPHPDOCX"/>
    <w:link w:val="SubtitlePHPDOCX"/>
    <w:uiPriority w:val="11"/>
    <w:rsid w:val="00DF064E"/>
    <w:rPr>
      <w:rFonts w:asciiTheme="majorHAnsi" w:eastAsiaTheme="majorEastAsia" w:hAnsiTheme="majorHAnsi" w:cstheme="majorBidi"/>
      <w:i/>
      <w:iCs/>
      <w:color w:val="4F81BD" w:themeColor="accent1"/>
      <w:spacing w:val="15"/>
      <w:sz w:val="24"/>
      <w:szCs w:val="24"/>
    </w:rPr>
  </w:style>
  <w:style w:type="table" w:customStyle="1" w:styleId="NormalTablePHPDOCX">
    <w:name w:val="Normal Table PHPDOCX"/>
    <w:uiPriority w:val="99"/>
    <w:semiHidden/>
    <w:unhideWhenUsed/>
    <w:qFormat/>
    <w:tblPr>
      <w:tblInd w:w="0" w:type="dxa"/>
      <w:tblCellMar>
        <w:top w:w="0" w:type="dxa"/>
        <w:left w:w="108" w:type="dxa"/>
        <w:bottom w:w="0" w:type="dxa"/>
        <w:right w:w="108" w:type="dxa"/>
      </w:tblCellMar>
    </w:tblPr>
  </w:style>
  <w:style w:type="table" w:customStyle="1" w:styleId="TableGridPHPDOCX">
    <w:name w:val="Table Grid PHPDOCX"/>
    <w:uiPriority w:val="59"/>
    <w:rsid w:val="00493A0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nnotationreferencePHPDOCX">
    <w:name w:val="annotation reference PHPDOCX"/>
    <w:basedOn w:val="DefaultParagraphFontPHPDOCX"/>
    <w:uiPriority w:val="99"/>
    <w:semiHidden/>
    <w:unhideWhenUsed/>
    <w:rsid w:val="00E139EA"/>
    <w:rPr>
      <w:sz w:val="16"/>
      <w:szCs w:val="16"/>
    </w:rPr>
  </w:style>
  <w:style w:type="paragraph" w:customStyle="1" w:styleId="annotationtextPHPDOCX">
    <w:name w:val="annotation text PHPDOCX"/>
    <w:basedOn w:val="Normal"/>
    <w:link w:val="CommentTextCharPHPDOCX"/>
    <w:uiPriority w:val="99"/>
    <w:semiHidden/>
    <w:unhideWhenUsed/>
    <w:rsid w:val="00E139EA"/>
  </w:style>
  <w:style w:type="character" w:customStyle="1" w:styleId="CommentTextCharPHPDOCX">
    <w:name w:val="Comment Text Char PHPDOCX"/>
    <w:basedOn w:val="DefaultParagraphFontPHPDOCX"/>
    <w:link w:val="annotationtextPHPDOCX"/>
    <w:uiPriority w:val="99"/>
    <w:semiHidden/>
    <w:rsid w:val="00E139EA"/>
    <w:rPr>
      <w:sz w:val="20"/>
      <w:szCs w:val="20"/>
    </w:rPr>
  </w:style>
  <w:style w:type="paragraph" w:customStyle="1" w:styleId="annotationsubjectPHPDOCX">
    <w:name w:val="annotation subject PHPDOCX"/>
    <w:basedOn w:val="annotationtextPHPDOCX"/>
    <w:next w:val="annotationtextPHPDOCX"/>
    <w:link w:val="CommentSubjectCharPHPDOCX"/>
    <w:uiPriority w:val="99"/>
    <w:semiHidden/>
    <w:unhideWhenUsed/>
    <w:rsid w:val="00E139EA"/>
    <w:rPr>
      <w:b/>
      <w:bCs/>
    </w:rPr>
  </w:style>
  <w:style w:type="character" w:customStyle="1" w:styleId="CommentSubjectCharPHPDOCX">
    <w:name w:val="Comment Subject Char PHPDOCX"/>
    <w:basedOn w:val="CommentTextCharPHPDOCX"/>
    <w:link w:val="annotationsubjectPHPDOCX"/>
    <w:uiPriority w:val="99"/>
    <w:semiHidden/>
    <w:rsid w:val="00E139EA"/>
    <w:rPr>
      <w:b/>
      <w:bCs/>
      <w:sz w:val="20"/>
      <w:szCs w:val="20"/>
    </w:rPr>
  </w:style>
  <w:style w:type="paragraph" w:customStyle="1" w:styleId="BalloonTextPHPDOCX">
    <w:name w:val="Balloon Text PHPDOCX"/>
    <w:basedOn w:val="Normal"/>
    <w:link w:val="BalloonTextCharPHPDOCX"/>
    <w:uiPriority w:val="99"/>
    <w:semiHidden/>
    <w:unhideWhenUsed/>
    <w:rsid w:val="00E139EA"/>
    <w:rPr>
      <w:rFonts w:ascii="Tahoma" w:hAnsi="Tahoma" w:cs="Tahoma"/>
      <w:sz w:val="16"/>
      <w:szCs w:val="16"/>
    </w:rPr>
  </w:style>
  <w:style w:type="character" w:customStyle="1" w:styleId="BalloonTextCharPHPDOCX">
    <w:name w:val="Balloon Text Char PHPDOCX"/>
    <w:basedOn w:val="DefaultParagraphFontPHPDOCX"/>
    <w:link w:val="BalloonTextPHPDOCX"/>
    <w:uiPriority w:val="99"/>
    <w:semiHidden/>
    <w:rsid w:val="00E139EA"/>
    <w:rPr>
      <w:rFonts w:ascii="Tahoma" w:hAnsi="Tahoma" w:cs="Tahoma"/>
      <w:sz w:val="16"/>
      <w:szCs w:val="16"/>
    </w:rPr>
  </w:style>
  <w:style w:type="paragraph" w:customStyle="1" w:styleId="footnoteTextPHPDOCX">
    <w:name w:val="footnote Text PHPDOCX"/>
    <w:basedOn w:val="Normal"/>
    <w:link w:val="footnoteTextCarPHPDOCX"/>
    <w:uiPriority w:val="99"/>
    <w:semiHidden/>
    <w:unhideWhenUsed/>
    <w:rsid w:val="006E0FDA"/>
  </w:style>
  <w:style w:type="character" w:customStyle="1" w:styleId="footnoteTextCarPHPDOCX">
    <w:name w:val="footnote Text Car PHPDOCX"/>
    <w:basedOn w:val="DefaultParagraphFontPHPDOCX"/>
    <w:link w:val="footnoteTextPHPDOCX"/>
    <w:uiPriority w:val="99"/>
    <w:semiHidden/>
    <w:rsid w:val="006E0FDA"/>
    <w:rPr>
      <w:sz w:val="20"/>
      <w:szCs w:val="20"/>
    </w:rPr>
  </w:style>
  <w:style w:type="character" w:customStyle="1" w:styleId="footnoteReferencePHPDOCX">
    <w:name w:val="footnote Reference PHPDOCX"/>
    <w:basedOn w:val="DefaultParagraphFontPHPDOCX"/>
    <w:uiPriority w:val="99"/>
    <w:semiHidden/>
    <w:unhideWhenUsed/>
    <w:rsid w:val="006E0FDA"/>
    <w:rPr>
      <w:vertAlign w:val="superscript"/>
    </w:rPr>
  </w:style>
  <w:style w:type="paragraph" w:customStyle="1" w:styleId="endnoteTextPHPDOCX">
    <w:name w:val="endnote Text PHPDOCX"/>
    <w:basedOn w:val="Normal"/>
    <w:link w:val="endnoteTextCarPHPDOCX"/>
    <w:uiPriority w:val="99"/>
    <w:semiHidden/>
    <w:unhideWhenUsed/>
    <w:rsid w:val="006E0FDA"/>
  </w:style>
  <w:style w:type="character" w:customStyle="1" w:styleId="endnoteTextCarPHPDOCX">
    <w:name w:val="endnote Text Car PHPDOCX"/>
    <w:basedOn w:val="DefaultParagraphFontPHPDOCX"/>
    <w:link w:val="endnoteTextPHPDOCX"/>
    <w:uiPriority w:val="99"/>
    <w:semiHidden/>
    <w:rsid w:val="006E0FDA"/>
    <w:rPr>
      <w:sz w:val="20"/>
      <w:szCs w:val="20"/>
    </w:rPr>
  </w:style>
  <w:style w:type="character" w:customStyle="1" w:styleId="endnoteReferencePHPDOCX">
    <w:name w:val="endnote Reference PHPDOCX"/>
    <w:basedOn w:val="DefaultParagraphFontPHPDOCX"/>
    <w:uiPriority w:val="99"/>
    <w:semiHidden/>
    <w:unhideWhenUsed/>
    <w:rsid w:val="006E0FDA"/>
    <w:rPr>
      <w:vertAlign w:val="superscript"/>
    </w:rPr>
  </w:style>
  <w:style w:type="character" w:customStyle="1" w:styleId="Heading1Char">
    <w:name w:val="Heading 1 Char"/>
    <w:link w:val="Heading1"/>
    <w:uiPriority w:val="9"/>
    <w:rsid w:val="00364FCF"/>
    <w:rPr>
      <w:rFonts w:ascii="Arial" w:eastAsiaTheme="majorEastAsia" w:hAnsi="Arial" w:cstheme="majorBidi"/>
      <w:b/>
      <w:color w:val="000000" w:themeColor="text1"/>
      <w:sz w:val="28"/>
      <w:szCs w:val="40"/>
    </w:rPr>
  </w:style>
  <w:style w:type="character" w:customStyle="1" w:styleId="Heading2Char">
    <w:name w:val="Heading 2 Char"/>
    <w:link w:val="Heading2"/>
    <w:uiPriority w:val="9"/>
    <w:rsid w:val="007110FE"/>
    <w:rPr>
      <w:rFonts w:ascii="Arial" w:eastAsiaTheme="majorEastAsia" w:hAnsi="Arial" w:cstheme="majorBidi"/>
      <w:b/>
      <w:color w:val="000000" w:themeColor="text1"/>
      <w:sz w:val="22"/>
      <w:szCs w:val="33"/>
    </w:rPr>
  </w:style>
  <w:style w:type="character" w:customStyle="1" w:styleId="Heading3Char">
    <w:name w:val="Heading 3 Char"/>
    <w:link w:val="Heading3"/>
    <w:uiPriority w:val="9"/>
    <w:rsid w:val="007110FE"/>
    <w:rPr>
      <w:rFonts w:ascii="Arial" w:hAnsi="Arial" w:cs="Arial"/>
      <w:b/>
      <w:sz w:val="22"/>
      <w:szCs w:val="44"/>
      <w:lang w:val="en-US"/>
    </w:rPr>
  </w:style>
  <w:style w:type="paragraph" w:styleId="ListParagraph">
    <w:name w:val="List Paragraph"/>
    <w:basedOn w:val="Normal"/>
    <w:link w:val="ListParagraphChar"/>
    <w:uiPriority w:val="34"/>
    <w:qFormat/>
    <w:rsid w:val="00197945"/>
    <w:pPr>
      <w:ind w:left="720"/>
      <w:contextualSpacing/>
    </w:pPr>
    <w:rPr>
      <w:rFonts w:asciiTheme="minorHAnsi" w:eastAsiaTheme="minorHAnsi" w:hAnsiTheme="minorHAnsi" w:cstheme="minorBidi"/>
      <w:kern w:val="2"/>
      <w:sz w:val="24"/>
      <w:szCs w:val="24"/>
    </w:rPr>
  </w:style>
  <w:style w:type="table" w:styleId="TableGrid">
    <w:name w:val="Table Grid"/>
    <w:basedOn w:val="TableNormal"/>
    <w:uiPriority w:val="39"/>
    <w:rsid w:val="00307E09"/>
    <w:rPr>
      <w:rFonts w:eastAsiaTheme="minorHAnsi"/>
      <w:bC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04CE5"/>
    <w:pPr>
      <w:spacing w:after="200"/>
    </w:pPr>
    <w:rPr>
      <w:i/>
      <w:iCs/>
      <w:color w:val="1F497D" w:themeColor="text2"/>
      <w:sz w:val="18"/>
      <w:szCs w:val="18"/>
    </w:rPr>
  </w:style>
  <w:style w:type="paragraph" w:styleId="Bibliography">
    <w:name w:val="Bibliography"/>
    <w:basedOn w:val="Normal"/>
    <w:next w:val="Normal"/>
    <w:uiPriority w:val="37"/>
    <w:unhideWhenUsed/>
    <w:rsid w:val="00B2462F"/>
    <w:pPr>
      <w:tabs>
        <w:tab w:val="left" w:pos="264"/>
      </w:tabs>
      <w:ind w:left="264" w:hanging="264"/>
    </w:pPr>
  </w:style>
  <w:style w:type="paragraph" w:styleId="Revision">
    <w:name w:val="Revision"/>
    <w:hidden/>
    <w:uiPriority w:val="99"/>
    <w:semiHidden/>
    <w:rsid w:val="00D50355"/>
    <w:rPr>
      <w:rFonts w:cs="Vrinda"/>
    </w:rPr>
  </w:style>
  <w:style w:type="character" w:styleId="CommentReference">
    <w:name w:val="annotation reference"/>
    <w:basedOn w:val="DefaultParagraphFont"/>
    <w:uiPriority w:val="99"/>
    <w:semiHidden/>
    <w:unhideWhenUsed/>
    <w:rsid w:val="00D50355"/>
    <w:rPr>
      <w:sz w:val="16"/>
      <w:szCs w:val="16"/>
    </w:rPr>
  </w:style>
  <w:style w:type="paragraph" w:styleId="CommentText">
    <w:name w:val="annotation text"/>
    <w:basedOn w:val="Normal"/>
    <w:link w:val="CommentTextChar"/>
    <w:uiPriority w:val="99"/>
    <w:unhideWhenUsed/>
    <w:rsid w:val="00D50355"/>
  </w:style>
  <w:style w:type="character" w:customStyle="1" w:styleId="CommentTextChar">
    <w:name w:val="Comment Text Char"/>
    <w:basedOn w:val="DefaultParagraphFont"/>
    <w:link w:val="CommentText"/>
    <w:uiPriority w:val="99"/>
    <w:rsid w:val="00D50355"/>
    <w:rPr>
      <w:rFonts w:cs="Vrinda"/>
      <w:sz w:val="20"/>
      <w:szCs w:val="20"/>
    </w:rPr>
  </w:style>
  <w:style w:type="paragraph" w:styleId="CommentSubject">
    <w:name w:val="annotation subject"/>
    <w:basedOn w:val="CommentText"/>
    <w:next w:val="CommentText"/>
    <w:link w:val="CommentSubjectChar"/>
    <w:uiPriority w:val="99"/>
    <w:semiHidden/>
    <w:unhideWhenUsed/>
    <w:rsid w:val="00D50355"/>
    <w:rPr>
      <w:b/>
      <w:bCs/>
    </w:rPr>
  </w:style>
  <w:style w:type="character" w:customStyle="1" w:styleId="CommentSubjectChar">
    <w:name w:val="Comment Subject Char"/>
    <w:basedOn w:val="CommentTextChar"/>
    <w:link w:val="CommentSubject"/>
    <w:uiPriority w:val="99"/>
    <w:semiHidden/>
    <w:rsid w:val="00D50355"/>
    <w:rPr>
      <w:rFonts w:cs="Vrinda"/>
      <w:b/>
      <w:bCs/>
      <w:sz w:val="20"/>
      <w:szCs w:val="20"/>
    </w:rPr>
  </w:style>
  <w:style w:type="paragraph" w:styleId="BalloonText">
    <w:name w:val="Balloon Text"/>
    <w:basedOn w:val="Normal"/>
    <w:link w:val="BalloonTextChar"/>
    <w:uiPriority w:val="99"/>
    <w:semiHidden/>
    <w:unhideWhenUsed/>
    <w:rsid w:val="00A5504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55046"/>
    <w:rPr>
      <w:rFonts w:ascii="Segoe UI" w:hAnsi="Segoe UI" w:cs="Segoe UI"/>
      <w:sz w:val="18"/>
      <w:szCs w:val="18"/>
    </w:rPr>
  </w:style>
  <w:style w:type="paragraph" w:styleId="Header">
    <w:name w:val="header"/>
    <w:basedOn w:val="Normal"/>
    <w:link w:val="HeaderChar"/>
    <w:uiPriority w:val="99"/>
    <w:unhideWhenUsed/>
    <w:rsid w:val="00BE79E3"/>
    <w:pPr>
      <w:tabs>
        <w:tab w:val="center" w:pos="4680"/>
        <w:tab w:val="right" w:pos="9360"/>
      </w:tabs>
    </w:pPr>
  </w:style>
  <w:style w:type="character" w:customStyle="1" w:styleId="HeaderChar">
    <w:name w:val="Header Char"/>
    <w:basedOn w:val="DefaultParagraphFont"/>
    <w:link w:val="Header"/>
    <w:uiPriority w:val="99"/>
    <w:rsid w:val="00BE79E3"/>
    <w:rPr>
      <w:rFonts w:cs="Vrinda"/>
    </w:rPr>
  </w:style>
  <w:style w:type="paragraph" w:styleId="Footer">
    <w:name w:val="footer"/>
    <w:basedOn w:val="Normal"/>
    <w:link w:val="FooterChar"/>
    <w:uiPriority w:val="99"/>
    <w:unhideWhenUsed/>
    <w:rsid w:val="00BE79E3"/>
    <w:pPr>
      <w:tabs>
        <w:tab w:val="center" w:pos="4680"/>
        <w:tab w:val="right" w:pos="9360"/>
      </w:tabs>
    </w:pPr>
  </w:style>
  <w:style w:type="character" w:customStyle="1" w:styleId="FooterChar">
    <w:name w:val="Footer Char"/>
    <w:basedOn w:val="DefaultParagraphFont"/>
    <w:link w:val="Footer"/>
    <w:uiPriority w:val="99"/>
    <w:rsid w:val="00BE79E3"/>
    <w:rPr>
      <w:rFonts w:cs="Vrinda"/>
    </w:rPr>
  </w:style>
  <w:style w:type="paragraph" w:styleId="NormalWeb">
    <w:name w:val="Normal (Web)"/>
    <w:basedOn w:val="Normal"/>
    <w:uiPriority w:val="99"/>
    <w:semiHidden/>
    <w:unhideWhenUsed/>
    <w:rsid w:val="00974329"/>
    <w:pPr>
      <w:spacing w:before="100" w:beforeAutospacing="1" w:after="100" w:afterAutospacing="1"/>
      <w:jc w:val="left"/>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974329"/>
    <w:rPr>
      <w:color w:val="0000FF"/>
      <w:u w:val="single"/>
    </w:rPr>
  </w:style>
  <w:style w:type="character" w:customStyle="1" w:styleId="ListParagraphChar">
    <w:name w:val="List Paragraph Char"/>
    <w:basedOn w:val="DefaultParagraphFont"/>
    <w:link w:val="ListParagraph"/>
    <w:uiPriority w:val="34"/>
    <w:rsid w:val="00852A8D"/>
    <w:rPr>
      <w:rFonts w:asciiTheme="minorHAnsi" w:eastAsiaTheme="minorHAnsi" w:hAnsiTheme="minorHAnsi" w:cstheme="minorBidi"/>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oi.org/10.1016/j.ajog.2024.01.004" TargetMode="External"/><Relationship Id="rId4" Type="http://schemas.openxmlformats.org/officeDocument/2006/relationships/settings" Target="settings.xml"/><Relationship Id="rId9" Type="http://schemas.openxmlformats.org/officeDocument/2006/relationships/image" Target="media/image2.png"/><Relationship Id="rId14" Type="http://schemas.microsoft.com/office/2011/relationships/people" Target="people.xml"/></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3B0C54-F711-4D47-A9A3-A157E51E10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TotalTime>
  <Pages>18</Pages>
  <Words>33066</Words>
  <Characters>188481</Characters>
  <Application>Microsoft Office Word</Application>
  <DocSecurity>0</DocSecurity>
  <Lines>1570</Lines>
  <Paragraphs>442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Flaherty, Carina</dc:creator>
  <cp:lastModifiedBy>Gebresellassie, Estifanos Zenebe</cp:lastModifiedBy>
  <cp:revision>8</cp:revision>
  <dcterms:created xsi:type="dcterms:W3CDTF">2025-10-31T17:31:00Z</dcterms:created>
  <dcterms:modified xsi:type="dcterms:W3CDTF">2026-08-25T18:13:00Z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id="rWXnUXcb"/&gt;&lt;style id="http://www.zotero.org/styles/national-institute-of-health-research" hasBibliography="1" bibliographyStyleHasBeenSet="1"/&gt;&lt;prefs&gt;&lt;pref name="fieldType" value="Field"/&gt;&lt;/prefs</vt:lpwstr>
  </property>
  <property fmtid="{D5CDD505-2E9C-101B-9397-08002B2CF9AE}" pid="3" name="ZOTERO_PREF_2">
    <vt:lpwstr>&gt;&lt;/data&gt;</vt:lpwstr>
  </property>
</Properties>
</file>