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00334c"/>
          <w:sz w:val="56"/>
          <w:szCs w:val="56"/>
        </w:rPr>
        <w:t xml:space="preserve">ARPBIG IdISBa</w:t>
      </w:r>
    </w:p>
    <w:p>
      <w:pPr>
        <w:spacing w:after="600"/>
        <w:jc w:val="center"/>
      </w:pPr>
      <w:r>
        <w:rPr>
          <w:rFonts w:ascii="Arial" w:cs="Arial" w:eastAsia="Arial" w:hAnsi="Arial"/>
          <w:color w:val="595959"/>
          <w:sz w:val="28"/>
          <w:szCs w:val="28"/>
        </w:rPr>
        <w:t xml:space="preserve">Base de Datos de Resistencia Antimicrobiana</w:t>
      </w:r>
    </w:p>
    <w:p>
      <w:pPr>
        <w:spacing w:after="200"/>
        <w:jc w:val="center"/>
      </w:pPr>
      <w:r>
        <w:rPr>
          <w:rFonts w:ascii="Arial" w:cs="Arial" w:eastAsia="Arial" w:hAnsi="Arial"/>
          <w:b/>
          <w:bCs/>
          <w:color w:val="00334c"/>
          <w:sz w:val="44"/>
          <w:szCs w:val="44"/>
        </w:rPr>
        <w:t xml:space="preserve">Manual de Usuario</w:t>
      </w:r>
    </w:p>
    <w:p>
      <w:pPr>
        <w:spacing w:after="800"/>
        <w:jc w:val="center"/>
      </w:pPr>
      <w:r>
        <w:rPr>
          <w:rFonts w:ascii="Arial" w:cs="Arial" w:eastAsia="Arial" w:hAnsi="Arial"/>
          <w:i/>
          <w:iCs/>
          <w:color w:val="595959"/>
          <w:sz w:val="24"/>
          <w:szCs w:val="24"/>
        </w:rPr>
        <w:t xml:space="preserve">Guía de uso de la interfaz de la aplicación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226"/>
      </w:tblGrid>
      <w:tr>
        <w:trPr>
          <w:tblHeader/>
        </w:trPr>
        <w:tc>
          <w:tcPr>
            <w:tcW w:type="dxa" w:w="1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1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18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Autor</w:t>
            </w:r>
          </w:p>
        </w:tc>
        <w:tc>
          <w:tcPr>
            <w:tcW w:type="dxa" w:w="42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27/05/2026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Fernando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Versión inicial — orientada al usuario investigador</w:t>
            </w:r>
          </w:p>
        </w:tc>
      </w:tr>
    </w:tbl>
    <w:p>
      <w:pPr>
        <w:spacing w:after="180"/>
        <w:jc w:val="center"/>
      </w:pPr>
      <w:r>
        <w:rPr>
          <w:rFonts w:ascii="Arial" w:cs="Arial" w:eastAsia="Arial" w:hAnsi="Arial"/>
          <w:i/>
          <w:iCs/>
          <w:color w:val="595959"/>
          <w:sz w:val="18"/>
          <w:szCs w:val="18"/>
        </w:rPr>
        <w:t xml:space="preserve">Tabla 1. Historial de versiones del documento</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Tabla de Contenidos</w:t>
      </w:r>
    </w:p>
    <w:p>
      <w:pPr>
        <w:spacing w:after="120"/>
      </w:pPr>
      <w:r>
        <w:rPr>
          <w:rFonts w:ascii="Arial" w:cs="Arial" w:eastAsia="Arial" w:hAnsi="Arial"/>
          <w:i/>
          <w:iCs/>
          <w:color w:val="595959"/>
          <w:sz w:val="20"/>
          <w:szCs w:val="20"/>
        </w:rPr>
        <w:t xml:space="preserve">Para generar la tabla de contenidos automática: pestaña Referencias → Tabla de contenido → Tabla automática 1.</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1. Introducción</w:t>
      </w:r>
    </w:p>
    <w:p>
      <w:pPr>
        <w:pStyle w:val="Heading2"/>
        <w:spacing w:after="120" w:before="280"/>
      </w:pPr>
      <w:r>
        <w:rPr>
          <w:rFonts w:ascii="Arial" w:cs="Arial" w:eastAsia="Arial" w:hAnsi="Arial"/>
          <w:b/>
          <w:bCs/>
          <w:color w:val="00334c"/>
          <w:sz w:val="26"/>
          <w:szCs w:val="26"/>
        </w:rPr>
        <w:t xml:space="preserve">1.1 ¿Qué es ARPBIG IdISBa?</w:t>
      </w:r>
    </w:p>
    <w:p>
      <w:pPr>
        <w:spacing w:after="120"/>
      </w:pPr>
      <w:r>
        <w:rPr>
          <w:rFonts w:ascii="Arial" w:cs="Arial" w:eastAsia="Arial" w:hAnsi="Arial"/>
          <w:sz w:val="20"/>
          <w:szCs w:val="20"/>
        </w:rPr>
        <w:t xml:space="preserve">ARPBIG IdISBa es la base de datos web del grupo de investigación Antibiotic Resistance and Pathogenicity of Bacterial Infections del Institut d'Investigació Sanitària Illes Balears (IdISBa). Permite gestionar, consultar y analizar datos de resistencia antimicrobiana de aislamientos bacterianos, principalmente Pseudomonas aeruginosa.</w:t>
      </w:r>
    </w:p>
    <w:p>
      <w:pPr>
        <w:spacing w:after="120"/>
      </w:pPr>
      <w:r>
        <w:rPr>
          <w:rFonts w:ascii="Arial" w:cs="Arial" w:eastAsia="Arial" w:hAnsi="Arial"/>
          <w:sz w:val="20"/>
          <w:szCs w:val="20"/>
        </w:rPr>
        <w:t xml:space="preserve">La aplicación está diseñada para investigadores y clínicos con experiencia en microbiología. Su uso no requiere conocimientos técnicos avanzados, pero sí familiaridad con conceptos como MIC, breakpoints, resistoma o MLST.</w:t>
      </w:r>
    </w:p>
    <w:p>
      <w:pPr>
        <w:pStyle w:val="Heading2"/>
        <w:spacing w:after="120" w:before="280"/>
      </w:pPr>
      <w:r>
        <w:rPr>
          <w:rFonts w:ascii="Arial" w:cs="Arial" w:eastAsia="Arial" w:hAnsi="Arial"/>
          <w:b/>
          <w:bCs/>
          <w:color w:val="00334c"/>
          <w:sz w:val="26"/>
          <w:szCs w:val="26"/>
        </w:rPr>
        <w:t xml:space="preserve">1.2 ¿Qué puedo hacer con esta aplicación?</w:t>
      </w:r>
    </w:p>
    <w:p>
      <w:pPr>
        <w:pStyle w:val="ListParagraph"/>
        <w:numPr>
          <w:ilvl w:val="0"/>
          <w:numId w:val="2"/>
        </w:numPr>
        <w:spacing w:after="80"/>
      </w:pPr>
      <w:r>
        <w:rPr>
          <w:rFonts w:ascii="Arial" w:cs="Arial" w:eastAsia="Arial" w:hAnsi="Arial"/>
          <w:sz w:val="20"/>
          <w:szCs w:val="20"/>
        </w:rPr>
        <w:t xml:space="preserve">Buscar aislamientos bacterianos aplicando múltiples filtros simultáneos (hospital, tipo de muestra, perfil de resistencia, genotipo, etc.).</w:t>
      </w:r>
    </w:p>
    <w:p>
      <w:pPr>
        <w:pStyle w:val="ListParagraph"/>
        <w:numPr>
          <w:ilvl w:val="0"/>
          <w:numId w:val="2"/>
        </w:numPr>
        <w:spacing w:after="80"/>
      </w:pPr>
      <w:r>
        <w:rPr>
          <w:rFonts w:ascii="Arial" w:cs="Arial" w:eastAsia="Arial" w:hAnsi="Arial"/>
          <w:sz w:val="20"/>
          <w:szCs w:val="20"/>
        </w:rPr>
        <w:t xml:space="preserve">Ver y exportar los resultados en tabla interactiva paginada.</w:t>
      </w:r>
    </w:p>
    <w:p>
      <w:pPr>
        <w:pStyle w:val="ListParagraph"/>
        <w:numPr>
          <w:ilvl w:val="0"/>
          <w:numId w:val="2"/>
        </w:numPr>
        <w:spacing w:after="80"/>
      </w:pPr>
      <w:r>
        <w:rPr>
          <w:rFonts w:ascii="Arial" w:cs="Arial" w:eastAsia="Arial" w:hAnsi="Arial"/>
          <w:sz w:val="20"/>
          <w:szCs w:val="20"/>
        </w:rPr>
        <w:t xml:space="preserve">Calcular y comparar categorías clínicas S/I/R usando distintas versiones de breakpoints (EUCAST, CLSI, etc.).</w:t>
      </w:r>
    </w:p>
    <w:p>
      <w:pPr>
        <w:pStyle w:val="ListParagraph"/>
        <w:numPr>
          <w:ilvl w:val="0"/>
          <w:numId w:val="2"/>
        </w:numPr>
        <w:spacing w:after="80"/>
      </w:pPr>
      <w:r>
        <w:rPr>
          <w:rFonts w:ascii="Arial" w:cs="Arial" w:eastAsia="Arial" w:hAnsi="Arial"/>
          <w:sz w:val="20"/>
          <w:szCs w:val="20"/>
        </w:rPr>
        <w:t xml:space="preserve">Explorar el resistoma mutacional como heatmap interactivo por gen y aislado.</w:t>
      </w:r>
    </w:p>
    <w:p>
      <w:pPr>
        <w:pStyle w:val="ListParagraph"/>
        <w:numPr>
          <w:ilvl w:val="0"/>
          <w:numId w:val="2"/>
        </w:numPr>
        <w:spacing w:after="80"/>
      </w:pPr>
      <w:r>
        <w:rPr>
          <w:rFonts w:ascii="Arial" w:cs="Arial" w:eastAsia="Arial" w:hAnsi="Arial"/>
          <w:sz w:val="20"/>
          <w:szCs w:val="20"/>
        </w:rPr>
        <w:t xml:space="preserve">Exportar los datos filtrados a CSV, Excel o texto con diferentes presets de columnas.</w:t>
      </w:r>
    </w:p>
    <w:p>
      <w:pPr>
        <w:pStyle w:val="ListParagraph"/>
        <w:numPr>
          <w:ilvl w:val="0"/>
          <w:numId w:val="2"/>
        </w:numPr>
        <w:spacing w:after="80"/>
      </w:pPr>
      <w:r>
        <w:rPr>
          <w:rFonts w:ascii="Arial" w:cs="Arial" w:eastAsia="Arial" w:hAnsi="Arial"/>
          <w:sz w:val="20"/>
          <w:szCs w:val="20"/>
        </w:rPr>
        <w:t xml:space="preserve">Cargar nuevos datos de forma masiva desde ficheros Excel o CSV.</w:t>
      </w:r>
    </w:p>
    <w:p>
      <w:pPr>
        <w:pStyle w:val="ListParagraph"/>
        <w:numPr>
          <w:ilvl w:val="0"/>
          <w:numId w:val="2"/>
        </w:numPr>
        <w:spacing w:after="80"/>
      </w:pPr>
      <w:r>
        <w:rPr>
          <w:rFonts w:ascii="Arial" w:cs="Arial" w:eastAsia="Arial" w:hAnsi="Arial"/>
          <w:sz w:val="20"/>
          <w:szCs w:val="20"/>
        </w:rPr>
        <w:t xml:space="preserve">Gestionar el banco de muestras físico del laboratorio.</w:t>
      </w:r>
    </w:p>
    <w:p>
      <w:pPr>
        <w:pStyle w:val="ListParagraph"/>
        <w:numPr>
          <w:ilvl w:val="0"/>
          <w:numId w:val="2"/>
        </w:numPr>
        <w:spacing w:after="80"/>
      </w:pPr>
      <w:r>
        <w:rPr>
          <w:rFonts w:ascii="Arial" w:cs="Arial" w:eastAsia="Arial" w:hAnsi="Arial"/>
          <w:sz w:val="20"/>
          <w:szCs w:val="20"/>
        </w:rPr>
        <w:t xml:space="preserve">Consultar visualizaciones estadísticas en el Dashboard.</w:t>
      </w:r>
    </w:p>
    <w:p>
      <w:pPr>
        <w:pStyle w:val="Heading2"/>
        <w:spacing w:after="120" w:before="280"/>
      </w:pPr>
      <w:r>
        <w:rPr>
          <w:rFonts w:ascii="Arial" w:cs="Arial" w:eastAsia="Arial" w:hAnsi="Arial"/>
          <w:b/>
          <w:bCs/>
          <w:color w:val="00334c"/>
          <w:sz w:val="26"/>
          <w:szCs w:val="26"/>
        </w:rPr>
        <w:t xml:space="preserve">1.3 Requisitos para el uso</w:t>
      </w:r>
    </w:p>
    <w:p>
      <w:pPr>
        <w:pStyle w:val="ListParagraph"/>
        <w:numPr>
          <w:ilvl w:val="0"/>
          <w:numId w:val="2"/>
        </w:numPr>
        <w:spacing w:after="80"/>
      </w:pPr>
      <w:r>
        <w:rPr>
          <w:rFonts w:ascii="Arial" w:cs="Arial" w:eastAsia="Arial" w:hAnsi="Arial"/>
          <w:sz w:val="20"/>
          <w:szCs w:val="20"/>
        </w:rPr>
        <w:t xml:space="preserve">Navegador web moderno: Google Chrome, Firefox, Microsoft Edge o Safari actualizados.</w:t>
      </w:r>
    </w:p>
    <w:p>
      <w:pPr>
        <w:pStyle w:val="ListParagraph"/>
        <w:numPr>
          <w:ilvl w:val="0"/>
          <w:numId w:val="2"/>
        </w:numPr>
        <w:spacing w:after="80"/>
      </w:pPr>
      <w:r>
        <w:rPr>
          <w:rFonts w:ascii="Arial" w:cs="Arial" w:eastAsia="Arial" w:hAnsi="Arial"/>
          <w:sz w:val="20"/>
          <w:szCs w:val="20"/>
        </w:rPr>
        <w:t xml:space="preserve">Cuenta de usuario activa (solicitarla al administrador del sistema).</w:t>
      </w:r>
    </w:p>
    <w:p>
      <w:pPr>
        <w:pStyle w:val="ListParagraph"/>
        <w:numPr>
          <w:ilvl w:val="0"/>
          <w:numId w:val="2"/>
        </w:numPr>
        <w:spacing w:after="80"/>
      </w:pPr>
      <w:r>
        <w:rPr>
          <w:rFonts w:ascii="Arial" w:cs="Arial" w:eastAsia="Arial" w:hAnsi="Arial"/>
          <w:sz w:val="20"/>
          <w:szCs w:val="20"/>
        </w:rPr>
        <w:t xml:space="preserve">Conexión a la red del instituto o VPN si se accede desde el exterior.</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2. Navegación y Elementos Comunes</w:t>
      </w:r>
    </w:p>
    <w:p>
      <w:pPr>
        <w:spacing w:after="120"/>
      </w:pPr>
      <w:r>
        <w:rPr>
          <w:rFonts w:ascii="Arial" w:cs="Arial" w:eastAsia="Arial" w:hAnsi="Arial"/>
          <w:sz w:val="20"/>
          <w:szCs w:val="20"/>
        </w:rPr>
        <w:t xml:space="preserve">Todas las pantallas de la aplicación comparten un diseño común con tres elementos fijos: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Vista general de la interfaz con el menú lateral y el pie de página]</w:t>
      </w:r>
    </w:p>
    <w:p>
      <w:pPr>
        <w:spacing w:after="200"/>
        <w:jc w:val="center"/>
      </w:pPr>
      <w:r>
        <w:rPr>
          <w:rFonts w:ascii="Arial" w:cs="Arial" w:eastAsia="Arial" w:hAnsi="Arial"/>
          <w:i/>
          <w:iCs/>
          <w:color w:val="595959"/>
          <w:sz w:val="18"/>
          <w:szCs w:val="18"/>
        </w:rPr>
        <w:t xml:space="preserve">Figura 1. Elementos comunes de la interfaz: menú lateral, contenido principal y pie de página</w:t>
      </w:r>
    </w:p>
    <w:p>
      <w:pPr>
        <w:pStyle w:val="Heading2"/>
        <w:spacing w:after="120" w:before="280"/>
      </w:pPr>
      <w:r>
        <w:rPr>
          <w:rFonts w:ascii="Arial" w:cs="Arial" w:eastAsia="Arial" w:hAnsi="Arial"/>
          <w:b/>
          <w:bCs/>
          <w:color w:val="00334c"/>
          <w:sz w:val="26"/>
          <w:szCs w:val="26"/>
        </w:rPr>
        <w:t xml:space="preserve">2.1 Menú lateral (sidebar)</w:t>
      </w:r>
    </w:p>
    <w:p>
      <w:pPr>
        <w:spacing w:after="120"/>
      </w:pPr>
      <w:r>
        <w:rPr>
          <w:rFonts w:ascii="Arial" w:cs="Arial" w:eastAsia="Arial" w:hAnsi="Arial"/>
          <w:sz w:val="20"/>
          <w:szCs w:val="20"/>
        </w:rPr>
        <w:t xml:space="preserve">El menú lateral rojo a la izquierda está siempre visible en pantallas grandes. Contiene:</w:t>
      </w:r>
    </w:p>
    <w:p>
      <w:pPr>
        <w:pStyle w:val="ListParagraph"/>
        <w:numPr>
          <w:ilvl w:val="0"/>
          <w:numId w:val="2"/>
        </w:numPr>
        <w:spacing w:after="80"/>
      </w:pPr>
      <w:r>
        <w:rPr>
          <w:rFonts w:ascii="Arial" w:cs="Arial" w:eastAsia="Arial" w:hAnsi="Arial"/>
          <w:sz w:val="20"/>
          <w:szCs w:val="20"/>
        </w:rPr>
        <w:t xml:space="preserve">Logo ARPBIG: enlace a la página pública del grupo (arpbigidisba.com).</w:t>
      </w:r>
    </w:p>
    <w:p>
      <w:pPr>
        <w:pStyle w:val="ListParagraph"/>
        <w:numPr>
          <w:ilvl w:val="0"/>
          <w:numId w:val="2"/>
        </w:numPr>
        <w:spacing w:after="80"/>
      </w:pPr>
      <w:r>
        <w:rPr>
          <w:rFonts w:ascii="Arial" w:cs="Arial" w:eastAsia="Arial" w:hAnsi="Arial"/>
          <w:sz w:val="20"/>
          <w:szCs w:val="20"/>
        </w:rPr>
        <w:t xml:space="preserve">Nombre de usuario y botones: "Log out" para cerrar sesión y "Go to DB Admin" para acceder al panel de administración (solo visible para usuarios con permiso).</w:t>
      </w:r>
    </w:p>
    <w:p>
      <w:pPr>
        <w:pStyle w:val="ListParagraph"/>
        <w:numPr>
          <w:ilvl w:val="0"/>
          <w:numId w:val="2"/>
        </w:numPr>
        <w:spacing w:after="80"/>
      </w:pPr>
      <w:r>
        <w:rPr>
          <w:rFonts w:ascii="Arial" w:cs="Arial" w:eastAsia="Arial" w:hAnsi="Arial"/>
          <w:sz w:val="20"/>
          <w:szCs w:val="20"/>
        </w:rPr>
        <w:t xml:space="preserve">Icono de bacterio separador.</w:t>
      </w:r>
    </w:p>
    <w:p>
      <w:pPr>
        <w:pStyle w:val="ListParagraph"/>
        <w:numPr>
          <w:ilvl w:val="0"/>
          <w:numId w:val="2"/>
        </w:numPr>
        <w:spacing w:after="80"/>
      </w:pPr>
      <w:r>
        <w:rPr>
          <w:rFonts w:ascii="Arial" w:cs="Arial" w:eastAsia="Arial" w:hAnsi="Arial"/>
          <w:sz w:val="20"/>
          <w:szCs w:val="20"/>
        </w:rPr>
        <w:t xml:space="preserve">Menú de navegación principal con los accesos a todas las secciones.</w:t>
      </w:r>
    </w:p>
    <w:p>
      <w:pPr>
        <w:pStyle w:val="ListParagraph"/>
        <w:numPr>
          <w:ilvl w:val="0"/>
          <w:numId w:val="2"/>
        </w:numPr>
        <w:spacing w:after="80"/>
      </w:pPr>
      <w:r>
        <w:rPr>
          <w:rFonts w:ascii="Arial" w:cs="Arial" w:eastAsia="Arial" w:hAnsi="Arial"/>
          <w:sz w:val="20"/>
          <w:szCs w:val="20"/>
        </w:rPr>
        <w:t xml:space="preserve">Logos de IdISBa y Son Espases en la parte inferior.</w:t>
      </w:r>
    </w:p>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Opción del menú</w:t>
            </w:r>
          </w:p>
        </w:tc>
        <w:tc>
          <w:tcPr>
            <w:tcW w:type="dxa" w:w="20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Destino</w:t>
            </w:r>
          </w:p>
        </w:tc>
        <w:tc>
          <w:tcPr>
            <w:tcW w:type="dxa" w:w="45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Página de inicio con accesos rápidos a todas las secciones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Advanced search</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/busqueda</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Formulario de búsqueda avanzada multifiltro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/pipelines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Interfaz de lanzamiento de pipelines de análisis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Visualizaciones estadísticas interactivas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/aplicaciones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Herramientas bioinformáticas adicionales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Documentation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/documentacion</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Protocolos y documentos del grupo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/cargadatos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Asistente de carga masiva de datos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Strain bank</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/strain_bank</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Gestión del banco de muestras físico</w:t>
            </w:r>
          </w:p>
        </w:tc>
      </w:tr>
    </w:tbl>
    <w:p>
      <w:pPr>
        <w:spacing w:after="180"/>
        <w:jc w:val="center"/>
      </w:pPr>
      <w:r>
        <w:rPr>
          <w:rFonts w:ascii="Arial" w:cs="Arial" w:eastAsia="Arial" w:hAnsi="Arial"/>
          <w:i/>
          <w:iCs/>
          <w:color w:val="595959"/>
          <w:sz w:val="18"/>
          <w:szCs w:val="18"/>
        </w:rPr>
        <w:t xml:space="preserve">Tabla 2. Opciones del menú lateral</w:t>
      </w:r>
    </w:p>
    <w:p>
      <w:pPr>
        <w:pStyle w:val="Heading2"/>
        <w:spacing w:after="120" w:before="280"/>
      </w:pPr>
      <w:r>
        <w:rPr>
          <w:rFonts w:ascii="Arial" w:cs="Arial" w:eastAsia="Arial" w:hAnsi="Arial"/>
          <w:b/>
          <w:bCs/>
          <w:color w:val="00334c"/>
          <w:sz w:val="26"/>
          <w:szCs w:val="26"/>
        </w:rPr>
        <w:t xml:space="preserve">2.2 Overlay de carga</w:t>
      </w:r>
    </w:p>
    <w:p>
      <w:pPr>
        <w:spacing w:after="120"/>
      </w:pPr>
      <w:r>
        <w:rPr>
          <w:rFonts w:ascii="Arial" w:cs="Arial" w:eastAsia="Arial" w:hAnsi="Arial"/>
          <w:sz w:val="20"/>
          <w:szCs w:val="20"/>
        </w:rPr>
        <w:t xml:space="preserve">Al navegar entre pantallas o aplicar filtros, aparece un overlay oscuro semitransparente con un indicador de carga animado y un mensaje descriptivo. Este comportamiento es normal e indica que la aplicación está procesando la petición. Simplemente espere a que se complete la carga.</w:t>
      </w:r>
    </w:p>
    <w:p>
      <w:pPr>
        <w:shd w:fill="E8F5E9" w:val="clear"/>
        <w:spacing w:after="120"/>
        <w:ind w:left="360"/>
      </w:pPr>
      <w:r>
        <w:rPr>
          <w:rFonts w:ascii="Arial" w:cs="Arial" w:eastAsia="Arial" w:hAnsi="Arial"/>
          <w:i/>
          <w:iCs/>
          <w:color w:val="2D6A4F"/>
          <w:sz w:val="19"/>
          <w:szCs w:val="19"/>
        </w:rPr>
        <w:t xml:space="preserve">💡 Consejo: Si el overlay permanece más de 30 segundos, recargue la página (F5) y vuelva a intentarlo.</w:t>
      </w:r>
    </w:p>
    <w:p>
      <w:pPr>
        <w:pStyle w:val="Heading2"/>
        <w:spacing w:after="120" w:before="280"/>
      </w:pPr>
      <w:r>
        <w:rPr>
          <w:rFonts w:ascii="Arial" w:cs="Arial" w:eastAsia="Arial" w:hAnsi="Arial"/>
          <w:b/>
          <w:bCs/>
          <w:color w:val="00334c"/>
          <w:sz w:val="26"/>
          <w:szCs w:val="26"/>
        </w:rPr>
        <w:t xml:space="preserve">2.3 En pantallas pequeñas</w:t>
      </w:r>
    </w:p>
    <w:p>
      <w:pPr>
        <w:spacing w:after="120"/>
      </w:pPr>
      <w:r>
        <w:rPr>
          <w:rFonts w:ascii="Arial" w:cs="Arial" w:eastAsia="Arial" w:hAnsi="Arial"/>
          <w:sz w:val="20"/>
          <w:szCs w:val="20"/>
        </w:rPr>
        <w:t xml:space="preserve">En dispositivos móviles o tablets, el menú lateral se oculta. Aparece el botón ☰ en la parte superior izquierda para abrirlo. Para cerrarlo, pulse "Close Menu" en la parte superior del menú.</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3. Acceso a la Aplicación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/accounts/login/</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autenticación. Es el punto de entrada obligatorio a la aplicación.</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login con el formulario de usuario y contraseña, el logo de ARPBIG y el enlace a la página pública]</w:t>
      </w:r>
    </w:p>
    <w:p>
      <w:pPr>
        <w:spacing w:after="200"/>
        <w:jc w:val="center"/>
      </w:pPr>
      <w:r>
        <w:rPr>
          <w:rFonts w:ascii="Arial" w:cs="Arial" w:eastAsia="Arial" w:hAnsi="Arial"/>
          <w:i/>
          <w:iCs/>
          <w:color w:val="595959"/>
          <w:sz w:val="18"/>
          <w:szCs w:val="18"/>
        </w:rPr>
        <w:t xml:space="preserve">Figura 2. Pantalla de inicio de sesión de ARPBIG IdISBa</w:t>
      </w:r>
    </w:p>
    <w:p>
      <w:pPr>
        <w:pStyle w:val="Heading2"/>
        <w:spacing w:after="120" w:before="280"/>
      </w:pPr>
      <w:r>
        <w:rPr>
          <w:rFonts w:ascii="Arial" w:cs="Arial" w:eastAsia="Arial" w:hAnsi="Arial"/>
          <w:b/>
          <w:bCs/>
          <w:color w:val="00334c"/>
          <w:sz w:val="26"/>
          <w:szCs w:val="26"/>
        </w:rPr>
        <w:t xml:space="preserve">3.1 Cómo iniciar sesión</w:t>
      </w:r>
    </w:p>
    <w:p>
      <w:pPr>
        <w:pStyle w:val="ListParagraph"/>
        <w:numPr>
          <w:ilvl w:val="0"/>
          <w:numId w:val="3"/>
        </w:numPr>
        <w:spacing w:after="100"/>
      </w:pPr>
      <w:r>
        <w:rPr>
          <w:rFonts w:ascii="Arial" w:cs="Arial" w:eastAsia="Arial" w:hAnsi="Arial"/>
          <w:sz w:val="20"/>
          <w:szCs w:val="20"/>
        </w:rPr>
        <w:t xml:space="preserve">Acceda a la URL de la aplicación en su navegador.</w:t>
      </w:r>
    </w:p>
    <w:p>
      <w:pPr>
        <w:pStyle w:val="ListParagraph"/>
        <w:numPr>
          <w:ilvl w:val="0"/>
          <w:numId w:val="3"/>
        </w:numPr>
        <w:spacing w:after="100"/>
      </w:pPr>
      <w:r>
        <w:rPr>
          <w:rFonts w:ascii="Arial" w:cs="Arial" w:eastAsia="Arial" w:hAnsi="Arial"/>
          <w:sz w:val="20"/>
          <w:szCs w:val="20"/>
        </w:rPr>
        <w:t xml:space="preserve">Introduzca su nombre de usuario en el campo "Username".</w:t>
      </w:r>
    </w:p>
    <w:p>
      <w:pPr>
        <w:pStyle w:val="ListParagraph"/>
        <w:numPr>
          <w:ilvl w:val="0"/>
          <w:numId w:val="3"/>
        </w:numPr>
        <w:spacing w:after="100"/>
      </w:pPr>
      <w:r>
        <w:rPr>
          <w:rFonts w:ascii="Arial" w:cs="Arial" w:eastAsia="Arial" w:hAnsi="Arial"/>
          <w:sz w:val="20"/>
          <w:szCs w:val="20"/>
        </w:rPr>
        <w:t xml:space="preserve">Introduzca su contraseña en el campo "Password".</w:t>
      </w:r>
    </w:p>
    <w:p>
      <w:pPr>
        <w:pStyle w:val="ListParagraph"/>
        <w:numPr>
          <w:ilvl w:val="0"/>
          <w:numId w:val="3"/>
        </w:numPr>
        <w:spacing w:after="100"/>
      </w:pPr>
      <w:r>
        <w:rPr>
          <w:rFonts w:ascii="Arial" w:cs="Arial" w:eastAsia="Arial" w:hAnsi="Arial"/>
          <w:sz w:val="20"/>
          <w:szCs w:val="20"/>
        </w:rPr>
        <w:t xml:space="preserve">Pulse el botón "Login".</w:t>
      </w:r>
    </w:p>
    <w:p>
      <w:pPr>
        <w:spacing w:after="120"/>
      </w:pPr>
      <w:r>
        <w:rPr>
          <w:rFonts w:ascii="Arial" w:cs="Arial" w:eastAsia="Arial" w:hAnsi="Arial"/>
          <w:sz w:val="20"/>
          <w:szCs w:val="20"/>
        </w:rPr>
        <w:t xml:space="preserve">Si las credenciales son correctas, será redirigido a la página de inicio. Si son incorrectas, aparecerá un mensaje de error indicando que el nombre de usuario o la contraseña no son válidos.</w:t>
      </w:r>
    </w:p>
    <w:p>
      <w:pPr>
        <w:shd w:fill="FFFBEB" w:val="clear"/>
        <w:spacing w:after="120"/>
        <w:ind w:left="360"/>
      </w:pPr>
      <w:r>
        <w:rPr>
          <w:rFonts w:ascii="Arial" w:cs="Arial" w:eastAsia="Arial" w:hAnsi="Arial"/>
          <w:i/>
          <w:iCs/>
          <w:color w:val="B45309"/>
          <w:sz w:val="19"/>
          <w:szCs w:val="19"/>
        </w:rPr>
        <w:t xml:space="preserve">⚠ Atención: Si ha olvidado su contraseña, contacte con el administrador del sistema. No existe en esta versión un proceso de recuperación automática de contraseña.</w:t>
      </w:r>
    </w:p>
    <w:p>
      <w:pPr>
        <w:pStyle w:val="Heading2"/>
        <w:spacing w:after="120" w:before="280"/>
      </w:pPr>
      <w:r>
        <w:rPr>
          <w:rFonts w:ascii="Arial" w:cs="Arial" w:eastAsia="Arial" w:hAnsi="Arial"/>
          <w:b/>
          <w:bCs/>
          <w:color w:val="00334c"/>
          <w:sz w:val="26"/>
          <w:szCs w:val="26"/>
        </w:rPr>
        <w:t xml:space="preserve">3.2 Cómo cerrar sesión</w:t>
      </w:r>
    </w:p>
    <w:p>
      <w:pPr>
        <w:spacing w:after="120"/>
      </w:pPr>
      <w:r>
        <w:rPr>
          <w:rFonts w:ascii="Arial" w:cs="Arial" w:eastAsia="Arial" w:hAnsi="Arial"/>
          <w:sz w:val="20"/>
          <w:szCs w:val="20"/>
        </w:rPr>
        <w:t xml:space="preserve">Haga clic en el botón rojo "Log out" situado en la parte superior del menú lateral. Será redirigido a la pantalla de login.</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4. Página de Inicio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Página de inicio con menú de acceso rápido a todas las funcionalidades.</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Página de inicio con la cuadrícula de accesos rápidos: Advanced search, Pipelines, Dashboard, Applications, Documentation, Data upload, Strain bank]</w:t>
      </w:r>
    </w:p>
    <w:p>
      <w:pPr>
        <w:spacing w:after="200"/>
        <w:jc w:val="center"/>
      </w:pPr>
      <w:r>
        <w:rPr>
          <w:rFonts w:ascii="Arial" w:cs="Arial" w:eastAsia="Arial" w:hAnsi="Arial"/>
          <w:i/>
          <w:iCs/>
          <w:color w:val="595959"/>
          <w:sz w:val="18"/>
          <w:szCs w:val="18"/>
        </w:rPr>
        <w:t xml:space="preserve">Figura 3. Página de inicio con los accesos directos a las secciones principales</w:t>
      </w:r>
    </w:p>
    <w:p>
      <w:pPr>
        <w:spacing w:after="120"/>
      </w:pPr>
      <w:r>
        <w:rPr>
          <w:rFonts w:ascii="Arial" w:cs="Arial" w:eastAsia="Arial" w:hAnsi="Arial"/>
          <w:sz w:val="20"/>
          <w:szCs w:val="20"/>
        </w:rPr>
        <w:t xml:space="preserve">La página de inicio muestra una cuadrícula de accesos directos a las secciones principales de la aplicación. Haga clic en cualquiera de los botones para navegar a esa sección. Las mismas opciones están disponibles en el menú lateral.</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5. Búsqueda Avanzada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/busqueda</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Formulario multisección para filtrar los aislamientos de la base de datos. Todos los filtros se combinan entre sí (AND).</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Vista general de la pantalla de búsqueda avanzada, mostrando el diagrama de pasos (STEP 1→2→3→4→SEARCH→RESULTS) y los acordeones de filtros]</w:t>
      </w:r>
    </w:p>
    <w:p>
      <w:pPr>
        <w:spacing w:after="200"/>
        <w:jc w:val="center"/>
      </w:pPr>
      <w:r>
        <w:rPr>
          <w:rFonts w:ascii="Arial" w:cs="Arial" w:eastAsia="Arial" w:hAnsi="Arial"/>
          <w:i/>
          <w:iCs/>
          <w:color w:val="595959"/>
          <w:sz w:val="18"/>
          <w:szCs w:val="18"/>
        </w:rPr>
        <w:t xml:space="preserve">Figura 4. Pantalla de búsqueda avanzada con el flujo de pasos y los acordeones de filtros colapsados</w:t>
      </w:r>
    </w:p>
    <w:p>
      <w:pPr>
        <w:spacing w:after="120"/>
      </w:pPr>
      <w:r>
        <w:rPr>
          <w:rFonts w:ascii="Arial" w:cs="Arial" w:eastAsia="Arial" w:hAnsi="Arial"/>
          <w:sz w:val="20"/>
          <w:szCs w:val="20"/>
        </w:rPr>
        <w:t xml:space="preserve">La pantalla de búsqueda avanzada presenta un diagrama de flujo en la parte superior que resume los pasos del proceso de búsqueda, seguido de cuatro secciones de filtros en formato acordeón (desplegables).</w:t>
      </w:r>
    </w:p>
    <w:p>
      <w:pPr>
        <w:shd w:fill="E8F5E9" w:val="clear"/>
        <w:spacing w:after="120"/>
        <w:ind w:left="360"/>
      </w:pPr>
      <w:r>
        <w:rPr>
          <w:rFonts w:ascii="Arial" w:cs="Arial" w:eastAsia="Arial" w:hAnsi="Arial"/>
          <w:i/>
          <w:iCs/>
          <w:color w:val="2D6A4F"/>
          <w:sz w:val="19"/>
          <w:szCs w:val="19"/>
        </w:rPr>
        <w:t xml:space="preserve">💡 Consejo: Puede dejar cualquier filtro vacío para ignorarlo. Solo los campos que rellene se aplicarán a la búsqueda.</w:t>
      </w:r>
    </w:p>
    <w:p>
      <w:pPr>
        <w:shd w:fill="E8F5E9" w:val="clear"/>
        <w:spacing w:after="120"/>
        <w:ind w:left="360"/>
      </w:pPr>
      <w:r>
        <w:rPr>
          <w:rFonts w:ascii="Arial" w:cs="Arial" w:eastAsia="Arial" w:hAnsi="Arial"/>
          <w:i/>
          <w:iCs/>
          <w:color w:val="2D6A4F"/>
          <w:sz w:val="19"/>
          <w:szCs w:val="19"/>
        </w:rPr>
        <w:t xml:space="preserve">💡 Consejo: Puede expandir varias secciones al mismo tiempo y rellenar filtros en cualquier orden.</w:t>
      </w:r>
    </w:p>
    <w:p>
      <w:pPr>
        <w:pStyle w:val="Heading2"/>
        <w:spacing w:after="120" w:before="280"/>
      </w:pPr>
      <w:r>
        <w:rPr>
          <w:rFonts w:ascii="Arial" w:cs="Arial" w:eastAsia="Arial" w:hAnsi="Arial"/>
          <w:b/>
          <w:bCs/>
          <w:color w:val="00334c"/>
          <w:sz w:val="26"/>
          <w:szCs w:val="26"/>
        </w:rPr>
        <w:t xml:space="preserve">5.1 Sección 1: Filtros de colección (Collection data filters)</w:t>
      </w:r>
    </w:p>
    <w:p>
      <w:pPr>
        <w:spacing w:after="120"/>
      </w:pPr>
      <w:r>
        <w:rPr>
          <w:rFonts w:ascii="Arial" w:cs="Arial" w:eastAsia="Arial" w:hAnsi="Arial"/>
          <w:sz w:val="20"/>
          <w:szCs w:val="20"/>
        </w:rPr>
        <w:t xml:space="preserve">Haga clic sobre el título "Collection data filters" para expandir esta sección.</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Sección "Collection data filters" desplegada, mostrando los tres subseciones: Traceability, Sample obtention y Geographical origin]</w:t>
      </w:r>
    </w:p>
    <w:p>
      <w:pPr>
        <w:spacing w:after="200"/>
        <w:jc w:val="center"/>
      </w:pPr>
      <w:r>
        <w:rPr>
          <w:rFonts w:ascii="Arial" w:cs="Arial" w:eastAsia="Arial" w:hAnsi="Arial"/>
          <w:i/>
          <w:iCs/>
          <w:color w:val="595959"/>
          <w:sz w:val="18"/>
          <w:szCs w:val="18"/>
        </w:rPr>
        <w:t xml:space="preserve">Figura 5. Filtros de colección: Trazabilidad, obtención de muestra y origen geográfico</w:t>
      </w:r>
    </w:p>
    <w:p>
      <w:pPr>
        <w:pStyle w:val="Heading3"/>
        <w:spacing w:after="100" w:before="200"/>
      </w:pPr>
      <w:r>
        <w:rPr>
          <w:rFonts w:ascii="Arial" w:cs="Arial" w:eastAsia="Arial" w:hAnsi="Arial"/>
          <w:b/>
          <w:bCs/>
          <w:color w:val="595959"/>
          <w:sz w:val="22"/>
          <w:szCs w:val="22"/>
        </w:rPr>
        <w:t xml:space="preserve">🏷 Traceability — Trazabilidad</w:t>
      </w:r>
    </w:p>
    <w:p>
      <w:pPr>
        <w:pStyle w:val="ListParagraph"/>
        <w:numPr>
          <w:ilvl w:val="0"/>
          <w:numId w:val="2"/>
        </w:numPr>
        <w:spacing w:after="80"/>
      </w:pPr>
      <w:r>
        <w:rPr>
          <w:rFonts w:ascii="Arial" w:cs="Arial" w:eastAsia="Arial" w:hAnsi="Arial"/>
          <w:sz w:val="20"/>
          <w:szCs w:val="20"/>
        </w:rPr>
        <w:t xml:space="preserve">Project name: filtra por el nombre del proyecto al que pertenece el aislado (ej. ARPBIG2024).</w:t>
      </w:r>
    </w:p>
    <w:p>
      <w:pPr>
        <w:pStyle w:val="ListParagraph"/>
        <w:numPr>
          <w:ilvl w:val="0"/>
          <w:numId w:val="2"/>
        </w:numPr>
        <w:spacing w:after="80"/>
      </w:pPr>
      <w:r>
        <w:rPr>
          <w:rFonts w:ascii="Arial" w:cs="Arial" w:eastAsia="Arial" w:hAnsi="Arial"/>
          <w:sz w:val="20"/>
          <w:szCs w:val="20"/>
        </w:rPr>
        <w:t xml:space="preserve">Isolate name: filtra por el nombre específico de uno o varios aislados.</w:t>
      </w:r>
    </w:p>
    <w:p>
      <w:pPr>
        <w:pStyle w:val="Heading3"/>
        <w:spacing w:after="100" w:before="200"/>
      </w:pPr>
      <w:r>
        <w:rPr>
          <w:rFonts w:ascii="Arial" w:cs="Arial" w:eastAsia="Arial" w:hAnsi="Arial"/>
          <w:b/>
          <w:bCs/>
          <w:color w:val="595959"/>
          <w:sz w:val="22"/>
          <w:szCs w:val="22"/>
        </w:rPr>
        <w:t xml:space="preserve">🏥 Sample obtention — Obtención de la muestra</w:t>
      </w:r>
    </w:p>
    <w:p>
      <w:pPr>
        <w:pStyle w:val="ListParagraph"/>
        <w:numPr>
          <w:ilvl w:val="0"/>
          <w:numId w:val="2"/>
        </w:numPr>
        <w:spacing w:after="80"/>
      </w:pPr>
      <w:r>
        <w:rPr>
          <w:rFonts w:ascii="Arial" w:cs="Arial" w:eastAsia="Arial" w:hAnsi="Arial"/>
          <w:sz w:val="20"/>
          <w:szCs w:val="20"/>
        </w:rPr>
        <w:t xml:space="preserve">Sample type: tipo de muestra clínica (esputo, lavado broncoalveolar, hemocultivo, etc.). Selector desplegable.</w:t>
      </w:r>
    </w:p>
    <w:p>
      <w:pPr>
        <w:pStyle w:val="ListParagraph"/>
        <w:numPr>
          <w:ilvl w:val="0"/>
          <w:numId w:val="2"/>
        </w:numPr>
        <w:spacing w:after="80"/>
      </w:pPr>
      <w:r>
        <w:rPr>
          <w:rFonts w:ascii="Arial" w:cs="Arial" w:eastAsia="Arial" w:hAnsi="Arial"/>
          <w:sz w:val="20"/>
          <w:szCs w:val="20"/>
        </w:rPr>
        <w:t xml:space="preserve">Ward: servicio hospitalario de procedencia (UCI, Urgencias, etc.). Selector desplegable.</w:t>
      </w:r>
    </w:p>
    <w:p>
      <w:pPr>
        <w:pStyle w:val="Heading3"/>
        <w:spacing w:after="100" w:before="200"/>
      </w:pPr>
      <w:r>
        <w:rPr>
          <w:rFonts w:ascii="Arial" w:cs="Arial" w:eastAsia="Arial" w:hAnsi="Arial"/>
          <w:b/>
          <w:bCs/>
          <w:color w:val="595959"/>
          <w:sz w:val="22"/>
          <w:szCs w:val="22"/>
        </w:rPr>
        <w:t xml:space="preserve">🌍 Geographical origin — Origen geográfico</w:t>
      </w:r>
    </w:p>
    <w:p>
      <w:pPr>
        <w:pStyle w:val="ListParagraph"/>
        <w:numPr>
          <w:ilvl w:val="0"/>
          <w:numId w:val="2"/>
        </w:numPr>
        <w:spacing w:after="80"/>
      </w:pPr>
      <w:r>
        <w:rPr>
          <w:rFonts w:ascii="Arial" w:cs="Arial" w:eastAsia="Arial" w:hAnsi="Arial"/>
          <w:sz w:val="20"/>
          <w:szCs w:val="20"/>
        </w:rPr>
        <w:t xml:space="preserve">Country: país de procedencia del hospital. Selector desplegable.</w:t>
      </w:r>
    </w:p>
    <w:p>
      <w:pPr>
        <w:pStyle w:val="ListParagraph"/>
        <w:numPr>
          <w:ilvl w:val="0"/>
          <w:numId w:val="2"/>
        </w:numPr>
        <w:spacing w:after="80"/>
      </w:pPr>
      <w:r>
        <w:rPr>
          <w:rFonts w:ascii="Arial" w:cs="Arial" w:eastAsia="Arial" w:hAnsi="Arial"/>
          <w:sz w:val="20"/>
          <w:szCs w:val="20"/>
        </w:rPr>
        <w:t xml:space="preserve">Region: región o comunidad autónoma.</w:t>
      </w:r>
    </w:p>
    <w:p>
      <w:pPr>
        <w:pStyle w:val="ListParagraph"/>
        <w:numPr>
          <w:ilvl w:val="0"/>
          <w:numId w:val="2"/>
        </w:numPr>
        <w:spacing w:after="80"/>
      </w:pPr>
      <w:r>
        <w:rPr>
          <w:rFonts w:ascii="Arial" w:cs="Arial" w:eastAsia="Arial" w:hAnsi="Arial"/>
          <w:sz w:val="20"/>
          <w:szCs w:val="20"/>
        </w:rPr>
        <w:t xml:space="preserve">Town: localidad.</w:t>
      </w:r>
    </w:p>
    <w:p>
      <w:pPr>
        <w:pStyle w:val="ListParagraph"/>
        <w:numPr>
          <w:ilvl w:val="0"/>
          <w:numId w:val="2"/>
        </w:numPr>
        <w:spacing w:after="80"/>
      </w:pPr>
      <w:r>
        <w:rPr>
          <w:rFonts w:ascii="Arial" w:cs="Arial" w:eastAsia="Arial" w:hAnsi="Arial"/>
          <w:sz w:val="20"/>
          <w:szCs w:val="20"/>
        </w:rPr>
        <w:t xml:space="preserve">Hospital: nombre del hospital. Selector desplegable con todos los hospitales de la base de datos.</w:t>
      </w:r>
    </w:p>
    <w:p>
      <w:pPr>
        <w:pStyle w:val="Heading2"/>
        <w:spacing w:after="120" w:before="280"/>
      </w:pPr>
      <w:r>
        <w:rPr>
          <w:rFonts w:ascii="Arial" w:cs="Arial" w:eastAsia="Arial" w:hAnsi="Arial"/>
          <w:b/>
          <w:bCs/>
          <w:color w:val="00334c"/>
          <w:sz w:val="26"/>
          <w:szCs w:val="26"/>
        </w:rPr>
        <w:t xml:space="preserve">5.2 Sección 2: Filtros fenotípicos (Phenotypic data filters)</w:t>
      </w:r>
    </w:p>
    <w:p>
      <w:pPr>
        <w:spacing w:after="120"/>
      </w:pPr>
      <w:r>
        <w:rPr>
          <w:rFonts w:ascii="Arial" w:cs="Arial" w:eastAsia="Arial" w:hAnsi="Arial"/>
          <w:sz w:val="20"/>
          <w:szCs w:val="20"/>
        </w:rPr>
        <w:t xml:space="preserve">Haga clic sobre el título "Phenotypic data filters" para expandir esta sección.</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Sección "Phenotypic data filters" desplegada, con los selectores de perfiles de resistencia, serotipo y tests enzimáticos]</w:t>
      </w:r>
    </w:p>
    <w:p>
      <w:pPr>
        <w:spacing w:after="200"/>
        <w:jc w:val="center"/>
      </w:pPr>
      <w:r>
        <w:rPr>
          <w:rFonts w:ascii="Arial" w:cs="Arial" w:eastAsia="Arial" w:hAnsi="Arial"/>
          <w:i/>
          <w:iCs/>
          <w:color w:val="595959"/>
          <w:sz w:val="18"/>
          <w:szCs w:val="18"/>
        </w:rPr>
        <w:t xml:space="preserve">Figura 6. Filtros de datos fenotípicos</w:t>
      </w:r>
    </w:p>
    <w:p>
      <w:pPr>
        <w:pStyle w:val="Heading3"/>
        <w:spacing w:after="100" w:before="200"/>
      </w:pPr>
      <w:r>
        <w:rPr>
          <w:rFonts w:ascii="Arial" w:cs="Arial" w:eastAsia="Arial" w:hAnsi="Arial"/>
          <w:b/>
          <w:bCs/>
          <w:color w:val="595959"/>
          <w:sz w:val="22"/>
          <w:szCs w:val="22"/>
        </w:rPr>
        <w:t xml:space="preserve">🛡 Resistance profiles — Perfiles de resistencia</w:t>
      </w:r>
    </w:p>
    <w:p>
      <w:pPr>
        <w:pStyle w:val="ListParagraph"/>
        <w:numPr>
          <w:ilvl w:val="0"/>
          <w:numId w:val="2"/>
        </w:numPr>
        <w:spacing w:after="80"/>
      </w:pPr>
      <w:r>
        <w:rPr>
          <w:rFonts w:ascii="Arial" w:cs="Arial" w:eastAsia="Arial" w:hAnsi="Arial"/>
          <w:sz w:val="20"/>
          <w:szCs w:val="20"/>
        </w:rPr>
        <w:t xml:space="preserve">ECDC resistance profile: perfil de multirresistencia según ECDC (MDR, XDR, PDR, non-MDR). Selector.</w:t>
      </w:r>
    </w:p>
    <w:p>
      <w:pPr>
        <w:pStyle w:val="ListParagraph"/>
        <w:numPr>
          <w:ilvl w:val="0"/>
          <w:numId w:val="2"/>
        </w:numPr>
        <w:spacing w:after="80"/>
      </w:pPr>
      <w:r>
        <w:rPr>
          <w:rFonts w:ascii="Arial" w:cs="Arial" w:eastAsia="Arial" w:hAnsi="Arial"/>
          <w:sz w:val="20"/>
          <w:szCs w:val="20"/>
        </w:rPr>
        <w:t xml:space="preserve">DTR profile: perfil Difficult-to-Treat Resistance según IDSA. Selector.</w:t>
      </w:r>
    </w:p>
    <w:p>
      <w:pPr>
        <w:pStyle w:val="Heading3"/>
        <w:spacing w:after="100" w:before="200"/>
      </w:pPr>
      <w:r>
        <w:rPr>
          <w:rFonts w:ascii="Arial" w:cs="Arial" w:eastAsia="Arial" w:hAnsi="Arial"/>
          <w:b/>
          <w:bCs/>
          <w:color w:val="595959"/>
          <w:sz w:val="22"/>
          <w:szCs w:val="22"/>
        </w:rPr>
        <w:t xml:space="preserve">🧫 Serotype — Serotipo</w:t>
      </w:r>
    </w:p>
    <w:p>
      <w:pPr>
        <w:pStyle w:val="ListParagraph"/>
        <w:numPr>
          <w:ilvl w:val="0"/>
          <w:numId w:val="2"/>
        </w:numPr>
        <w:spacing w:after="80"/>
      </w:pPr>
      <w:r>
        <w:rPr>
          <w:rFonts w:ascii="Arial" w:cs="Arial" w:eastAsia="Arial" w:hAnsi="Arial"/>
          <w:sz w:val="20"/>
          <w:szCs w:val="20"/>
        </w:rPr>
        <w:t xml:space="preserve">In vitro serotype: serotipo del aislado determinado in vitro. Selector desplegable.</w:t>
      </w:r>
    </w:p>
    <w:p>
      <w:pPr>
        <w:pStyle w:val="Heading3"/>
        <w:spacing w:after="100" w:before="200"/>
      </w:pPr>
      <w:r>
        <w:rPr>
          <w:rFonts w:ascii="Arial" w:cs="Arial" w:eastAsia="Arial" w:hAnsi="Arial"/>
          <w:b/>
          <w:bCs/>
          <w:color w:val="595959"/>
          <w:sz w:val="22"/>
          <w:szCs w:val="22"/>
        </w:rPr>
        <w:t xml:space="preserve">⚗️ Enzymatic resistance tests — Tests enzimáticos</w:t>
      </w:r>
    </w:p>
    <w:p>
      <w:pPr>
        <w:pStyle w:val="ListParagraph"/>
        <w:numPr>
          <w:ilvl w:val="0"/>
          <w:numId w:val="2"/>
        </w:numPr>
        <w:spacing w:after="80"/>
      </w:pPr>
      <w:r>
        <w:rPr>
          <w:rFonts w:ascii="Arial" w:cs="Arial" w:eastAsia="Arial" w:hAnsi="Arial"/>
          <w:sz w:val="20"/>
          <w:szCs w:val="20"/>
        </w:rPr>
        <w:t xml:space="preserve">CLOXA test: resultado del test de cloxa (AmpC). Valores: + / -.</w:t>
      </w:r>
    </w:p>
    <w:p>
      <w:pPr>
        <w:pStyle w:val="ListParagraph"/>
        <w:numPr>
          <w:ilvl w:val="0"/>
          <w:numId w:val="2"/>
        </w:numPr>
        <w:spacing w:after="80"/>
      </w:pPr>
      <w:r>
        <w:rPr>
          <w:rFonts w:ascii="Arial" w:cs="Arial" w:eastAsia="Arial" w:hAnsi="Arial"/>
          <w:sz w:val="20"/>
          <w:szCs w:val="20"/>
        </w:rPr>
        <w:t xml:space="preserve">MBL test: resultado del test de metalo-beta-lactamasas. Valores: + / -.</w:t>
      </w:r>
    </w:p>
    <w:p>
      <w:pPr>
        <w:pStyle w:val="ListParagraph"/>
        <w:numPr>
          <w:ilvl w:val="0"/>
          <w:numId w:val="2"/>
        </w:numPr>
        <w:spacing w:after="80"/>
      </w:pPr>
      <w:r>
        <w:rPr>
          <w:rFonts w:ascii="Arial" w:cs="Arial" w:eastAsia="Arial" w:hAnsi="Arial"/>
          <w:sz w:val="20"/>
          <w:szCs w:val="20"/>
        </w:rPr>
        <w:t xml:space="preserve">ESBL test: resultado del test de ESBL. Valores: + / -.</w:t>
      </w:r>
    </w:p>
    <w:p>
      <w:pPr>
        <w:pStyle w:val="Heading2"/>
        <w:spacing w:after="120" w:before="280"/>
      </w:pPr>
      <w:r>
        <w:rPr>
          <w:rFonts w:ascii="Arial" w:cs="Arial" w:eastAsia="Arial" w:hAnsi="Arial"/>
          <w:b/>
          <w:bCs/>
          <w:color w:val="00334c"/>
          <w:sz w:val="26"/>
          <w:szCs w:val="26"/>
        </w:rPr>
        <w:t xml:space="preserve">5.3 Sección 3: Filtros por categorías SIR (SIR breakpoints filters)</w:t>
      </w:r>
    </w:p>
    <w:p>
      <w:pPr>
        <w:spacing w:after="120"/>
      </w:pPr>
      <w:r>
        <w:rPr>
          <w:rFonts w:ascii="Arial" w:cs="Arial" w:eastAsia="Arial" w:hAnsi="Arial"/>
          <w:sz w:val="20"/>
          <w:szCs w:val="20"/>
        </w:rPr>
        <w:t xml:space="preserve">Haga clic sobre el título "SIR breakpoints filters" para expandir esta sección. Esta sección permite filtrar aislamientos por su categoría clínica (S/I/R) para distintas familias de antibióticos.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Sección "SIR breakpoints filters" desplegada, mostrando las 8 clases de antibióticos con sus selectores S/I/R]</w:t>
      </w:r>
    </w:p>
    <w:p>
      <w:pPr>
        <w:spacing w:after="200"/>
        <w:jc w:val="center"/>
      </w:pPr>
      <w:r>
        <w:rPr>
          <w:rFonts w:ascii="Arial" w:cs="Arial" w:eastAsia="Arial" w:hAnsi="Arial"/>
          <w:i/>
          <w:iCs/>
          <w:color w:val="595959"/>
          <w:sz w:val="18"/>
          <w:szCs w:val="18"/>
        </w:rPr>
        <w:t xml:space="preserve">Figura 7. Filtros de categorías clínicas SIR por clase de antibiótico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Clase de antibiótico</w:t>
            </w:r>
          </w:p>
        </w:tc>
        <w:tc>
          <w:tcPr>
            <w:tcW w:type="dxa" w:w="60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Antibióticos incluidos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Carboxypenicillins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Ticarcilina (TIC)</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Penicillins + BLI</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Piperacilina/Tazobactam (PIP-TZ)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Cephalosporins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Ceftazidima (CAZ), Ceftazidima/Avibactam (CAZ-AVI), Ceftolozano/Tazobactam (TOL), Ceftolozano/Tazobactam (CTZ), Cefepima (FEP), Cefiderocol (CFDC)</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Monobactams</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Aztreonam (ATM), Aztreonam/Avibactam (AZT-AVI)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Carbapenems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Imipenem (IMI), Imipenem/Relebactam (IMI-REL), Meropenem (MER)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Aminoglycosides</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Amikacina (AMI), Tobramicina (TOB)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Fluoroquinolones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Ciprofloxacino (CIP)</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Polymyxins</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Colistina (COL)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Fosfonic acid derivatives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Fosfomicina (FO)</w:t>
            </w:r>
          </w:p>
        </w:tc>
      </w:tr>
    </w:tbl>
    <w:p>
      <w:pPr>
        <w:spacing w:after="180"/>
        <w:jc w:val="center"/>
      </w:pPr>
      <w:r>
        <w:rPr>
          <w:rFonts w:ascii="Arial" w:cs="Arial" w:eastAsia="Arial" w:hAnsi="Arial"/>
          <w:i/>
          <w:iCs/>
          <w:color w:val="595959"/>
          <w:sz w:val="18"/>
          <w:szCs w:val="18"/>
        </w:rPr>
        <w:t xml:space="preserve">Tabla 3. Clases de antibióticos disponibles en los filtros SIR</w:t>
      </w:r>
    </w:p>
    <w:p>
      <w:pPr>
        <w:spacing w:after="120"/>
      </w:pPr>
      <w:r>
        <w:rPr>
          <w:rFonts w:ascii="Arial" w:cs="Arial" w:eastAsia="Arial" w:hAnsi="Arial"/>
          <w:sz w:val="20"/>
          <w:szCs w:val="20"/>
        </w:rPr>
        <w:t xml:space="preserve">Para cada antibiótico, seleccione la categoría clínica deseada (S, I o R) en el selector correspondiente. Deje el selector en blanco para no filtrar por ese antibiótico.</w:t>
      </w:r>
    </w:p>
    <w:p>
      <w:pPr>
        <w:shd w:fill="FFFBEB" w:val="clear"/>
        <w:spacing w:after="120"/>
        <w:ind w:left="360"/>
      </w:pPr>
      <w:r>
        <w:rPr>
          <w:rFonts w:ascii="Arial" w:cs="Arial" w:eastAsia="Arial" w:hAnsi="Arial"/>
          <w:i/>
          <w:iCs/>
          <w:color w:val="B45309"/>
          <w:sz w:val="19"/>
          <w:szCs w:val="19"/>
        </w:rPr>
        <w:t xml:space="preserve">⚠ Atención: Los filtros SIR se aplican sobre las categorías clínicas almacenadas en la base de datos. Estas pueden no coincidir con las que calcula dinámicamente el selector de breakpoints de la pantalla de resultados.</w:t>
      </w:r>
    </w:p>
    <w:p>
      <w:pPr>
        <w:pStyle w:val="Heading2"/>
        <w:spacing w:after="120" w:before="280"/>
      </w:pPr>
      <w:r>
        <w:rPr>
          <w:rFonts w:ascii="Arial" w:cs="Arial" w:eastAsia="Arial" w:hAnsi="Arial"/>
          <w:b/>
          <w:bCs/>
          <w:color w:val="00334c"/>
          <w:sz w:val="26"/>
          <w:szCs w:val="26"/>
        </w:rPr>
        <w:t xml:space="preserve">5.4 Sección 4: Filtros moleculares (Molecular data filters)</w:t>
      </w:r>
    </w:p>
    <w:p>
      <w:pPr>
        <w:spacing w:after="120"/>
      </w:pPr>
      <w:r>
        <w:rPr>
          <w:rFonts w:ascii="Arial" w:cs="Arial" w:eastAsia="Arial" w:hAnsi="Arial"/>
          <w:sz w:val="20"/>
          <w:szCs w:val="20"/>
        </w:rPr>
        <w:t xml:space="preserve">Haga clic sobre el título "Molecular data filters" para expandir esta sección.</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Sección "Molecular data filters" desplegada, con el selector de tipo de locus, el selector múltiple de genes y los botones de subconjunto]</w:t>
      </w:r>
    </w:p>
    <w:p>
      <w:pPr>
        <w:spacing w:after="200"/>
        <w:jc w:val="center"/>
      </w:pPr>
      <w:r>
        <w:rPr>
          <w:rFonts w:ascii="Arial" w:cs="Arial" w:eastAsia="Arial" w:hAnsi="Arial"/>
          <w:i/>
          <w:iCs/>
          <w:color w:val="595959"/>
          <w:sz w:val="18"/>
          <w:szCs w:val="18"/>
        </w:rPr>
        <w:t xml:space="preserve">Figura 8. Filtros de datos moleculares: tipificación y filtros WGS</w:t>
      </w:r>
    </w:p>
    <w:p>
      <w:pPr>
        <w:pStyle w:val="Heading3"/>
        <w:spacing w:after="100" w:before="200"/>
      </w:pPr>
      <w:r>
        <w:rPr>
          <w:rFonts w:ascii="Arial" w:cs="Arial" w:eastAsia="Arial" w:hAnsi="Arial"/>
          <w:b/>
          <w:bCs/>
          <w:color w:val="595959"/>
          <w:sz w:val="22"/>
          <w:szCs w:val="22"/>
        </w:rPr>
        <w:t xml:space="preserve">🔖 Molecular typing — Tipificación molecular</w:t>
      </w:r>
    </w:p>
    <w:p>
      <w:pPr>
        <w:pStyle w:val="ListParagraph"/>
        <w:numPr>
          <w:ilvl w:val="0"/>
          <w:numId w:val="2"/>
        </w:numPr>
        <w:spacing w:after="80"/>
      </w:pPr>
      <w:r>
        <w:rPr>
          <w:rFonts w:ascii="Arial" w:cs="Arial" w:eastAsia="Arial" w:hAnsi="Arial"/>
          <w:sz w:val="20"/>
          <w:szCs w:val="20"/>
        </w:rPr>
        <w:t xml:space="preserve">Sequence type (ST): tipo de secuencia MLST (ej. ST175, ST235). Campo de texto libre.</w:t>
      </w:r>
    </w:p>
    <w:p>
      <w:pPr>
        <w:pStyle w:val="ListParagraph"/>
        <w:numPr>
          <w:ilvl w:val="0"/>
          <w:numId w:val="2"/>
        </w:numPr>
        <w:spacing w:after="80"/>
      </w:pPr>
      <w:r>
        <w:rPr>
          <w:rFonts w:ascii="Arial" w:cs="Arial" w:eastAsia="Arial" w:hAnsi="Arial"/>
          <w:sz w:val="20"/>
          <w:szCs w:val="20"/>
        </w:rPr>
        <w:t xml:space="preserve">In silico serotype: serotipo determinado in silico por WGS. Selector.</w:t>
      </w:r>
    </w:p>
    <w:p>
      <w:pPr>
        <w:pStyle w:val="Heading3"/>
        <w:spacing w:after="100" w:before="200"/>
      </w:pPr>
      <w:r>
        <w:rPr>
          <w:rFonts w:ascii="Arial" w:cs="Arial" w:eastAsia="Arial" w:hAnsi="Arial"/>
          <w:b/>
          <w:bCs/>
          <w:color w:val="595959"/>
          <w:sz w:val="22"/>
          <w:szCs w:val="22"/>
        </w:rPr>
        <w:t xml:space="preserve">🧬 Whole Genome Sequencing filters</w:t>
      </w:r>
    </w:p>
    <w:p>
      <w:pPr>
        <w:pStyle w:val="ListParagraph"/>
        <w:numPr>
          <w:ilvl w:val="0"/>
          <w:numId w:val="2"/>
        </w:numPr>
        <w:spacing w:after="80"/>
      </w:pPr>
      <w:r>
        <w:rPr>
          <w:rFonts w:ascii="Arial" w:cs="Arial" w:eastAsia="Arial" w:hAnsi="Arial"/>
          <w:sz w:val="20"/>
          <w:szCs w:val="20"/>
        </w:rPr>
        <w:t xml:space="preserve">Loci data type: determina cómo se representan los loci génicos en la tabla de resultados. Opciones: "Mutations only" (solo mutaciones) o "Mutations + Polymorphisms" (mutaciones y polimorfismos).</w:t>
      </w:r>
    </w:p>
    <w:p>
      <w:pPr>
        <w:pStyle w:val="ListParagraph"/>
        <w:numPr>
          <w:ilvl w:val="0"/>
          <w:numId w:val="2"/>
        </w:numPr>
        <w:spacing w:after="80"/>
      </w:pPr>
      <w:r>
        <w:rPr>
          <w:rFonts w:ascii="Arial" w:cs="Arial" w:eastAsia="Arial" w:hAnsi="Arial"/>
          <w:sz w:val="20"/>
          <w:szCs w:val="20"/>
        </w:rPr>
        <w:t xml:space="preserve">Show heatmap in results: si se selecciona "Yes", se mostrará el heatmap del resistoma en la pantalla de resultados.</w:t>
      </w:r>
    </w:p>
    <w:p>
      <w:pPr>
        <w:pStyle w:val="ListParagraph"/>
        <w:numPr>
          <w:ilvl w:val="0"/>
          <w:numId w:val="2"/>
        </w:numPr>
        <w:spacing w:after="80"/>
      </w:pPr>
      <w:r>
        <w:rPr>
          <w:rFonts w:ascii="Arial" w:cs="Arial" w:eastAsia="Arial" w:hAnsi="Arial"/>
          <w:sz w:val="20"/>
          <w:szCs w:val="20"/>
        </w:rPr>
        <w:t xml:space="preserve">Genes to display as columns: selector múltiple de genes del resistoma que se mostrarán como columnas adicionales en la tabla de resultados. Se pueden filtrar por subconjuntos predefinidos:</w:t>
      </w:r>
    </w:p>
    <w:p>
      <w:pPr>
        <w:pStyle w:val="ListParagraph"/>
        <w:numPr>
          <w:ilvl w:val="1"/>
          <w:numId w:val="2"/>
        </w:numPr>
        <w:spacing w:after="80"/>
      </w:pPr>
      <w:r>
        <w:rPr>
          <w:rFonts w:ascii="Arial" w:cs="Arial" w:eastAsia="Arial" w:hAnsi="Arial"/>
          <w:sz w:val="20"/>
          <w:szCs w:val="20"/>
        </w:rPr>
        <w:t xml:space="preserve">Botón "Extended resistome": selecciona todos los genes del resistoma extendido.</w:t>
      </w:r>
    </w:p>
    <w:p>
      <w:pPr>
        <w:pStyle w:val="ListParagraph"/>
        <w:numPr>
          <w:ilvl w:val="1"/>
          <w:numId w:val="2"/>
        </w:numPr>
        <w:spacing w:after="80"/>
      </w:pPr>
      <w:r>
        <w:rPr>
          <w:rFonts w:ascii="Arial" w:cs="Arial" w:eastAsia="Arial" w:hAnsi="Arial"/>
          <w:sz w:val="20"/>
          <w:szCs w:val="20"/>
        </w:rPr>
        <w:t xml:space="preserve">Botón "Basic resistome": selecciona el subconjunto básico de genes.</w:t>
      </w:r>
    </w:p>
    <w:p>
      <w:pPr>
        <w:pStyle w:val="ListParagraph"/>
        <w:numPr>
          <w:ilvl w:val="1"/>
          <w:numId w:val="2"/>
        </w:numPr>
        <w:spacing w:after="80"/>
      </w:pPr>
      <w:r>
        <w:rPr>
          <w:rFonts w:ascii="Arial" w:cs="Arial" w:eastAsia="Arial" w:hAnsi="Arial"/>
          <w:sz w:val="20"/>
          <w:szCs w:val="20"/>
        </w:rPr>
        <w:t xml:space="preserve">Botón "Cefiderocol resistome": genes relevantes para resistencia a cefiderocol.</w:t>
      </w:r>
    </w:p>
    <w:p>
      <w:pPr>
        <w:pStyle w:val="ListParagraph"/>
        <w:numPr>
          <w:ilvl w:val="1"/>
          <w:numId w:val="2"/>
        </w:numPr>
        <w:spacing w:after="80"/>
      </w:pPr>
      <w:r>
        <w:rPr>
          <w:rFonts w:ascii="Arial" w:cs="Arial" w:eastAsia="Arial" w:hAnsi="Arial"/>
          <w:sz w:val="20"/>
          <w:szCs w:val="20"/>
        </w:rPr>
        <w:t xml:space="preserve">Botón "Hypermutation": genes relacionados con hipermutación.</w:t>
      </w:r>
    </w:p>
    <w:p>
      <w:pPr>
        <w:shd w:fill="E8F5E9" w:val="clear"/>
        <w:spacing w:after="120"/>
        <w:ind w:left="360"/>
      </w:pPr>
      <w:r>
        <w:rPr>
          <w:rFonts w:ascii="Arial" w:cs="Arial" w:eastAsia="Arial" w:hAnsi="Arial"/>
          <w:i/>
          <w:iCs/>
          <w:color w:val="2D6A4F"/>
          <w:sz w:val="19"/>
          <w:szCs w:val="19"/>
        </w:rPr>
        <w:t xml:space="preserve">💡 Consejo: Puede seleccionar genes individuales haciendo clic en el selector múltiple. Mantenga Ctrl (Windows/Linux) o Cmd (Mac) para seleccionar varios.</w:t>
      </w:r>
    </w:p>
    <w:p>
      <w:pPr>
        <w:pStyle w:val="Heading2"/>
        <w:spacing w:after="120" w:before="280"/>
      </w:pPr>
      <w:r>
        <w:rPr>
          <w:rFonts w:ascii="Arial" w:cs="Arial" w:eastAsia="Arial" w:hAnsi="Arial"/>
          <w:b/>
          <w:bCs/>
          <w:color w:val="00334c"/>
          <w:sz w:val="26"/>
          <w:szCs w:val="26"/>
        </w:rPr>
        <w:t xml:space="preserve">5.5 Ejecutar la búsqueda</w:t>
      </w:r>
    </w:p>
    <w:p>
      <w:pPr>
        <w:spacing w:after="120"/>
      </w:pPr>
      <w:r>
        <w:rPr>
          <w:rFonts w:ascii="Arial" w:cs="Arial" w:eastAsia="Arial" w:hAnsi="Arial"/>
          <w:sz w:val="20"/>
          <w:szCs w:val="20"/>
        </w:rPr>
        <w:t xml:space="preserve">Una vez configurados los filtros deseados, haga clic en el botón azul "SEARCH" al final de la página. La aplicación mostrará la pantalla de resultados con todos los aislamientos que cumplen los criterios seleccionados.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Botón SEARCH en la parte inferior de la pantalla de búsqueda]</w:t>
      </w:r>
    </w:p>
    <w:p>
      <w:pPr>
        <w:spacing w:after="200"/>
        <w:jc w:val="center"/>
      </w:pPr>
      <w:r>
        <w:rPr>
          <w:rFonts w:ascii="Arial" w:cs="Arial" w:eastAsia="Arial" w:hAnsi="Arial"/>
          <w:i/>
          <w:iCs/>
          <w:color w:val="595959"/>
          <w:sz w:val="18"/>
          <w:szCs w:val="18"/>
        </w:rPr>
        <w:t xml:space="preserve">Figura 9. Botón de búsqueda al final de la pantalla</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6. Resultados de Búsqueda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/resultados</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Tabla interactiva con los resultados de la búsqueda. Permite filtrar, ordenar, paginar, comparar breakpoints, visualizar el heatmap y exportar datos.</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Vista general de la pantalla de resultados mostrando el resumen de parámetros usados, los acordeones de filtros y la tabla de resultados paginada]</w:t>
      </w:r>
    </w:p>
    <w:p>
      <w:pPr>
        <w:spacing w:after="200"/>
        <w:jc w:val="center"/>
      </w:pPr>
      <w:r>
        <w:rPr>
          <w:rFonts w:ascii="Arial" w:cs="Arial" w:eastAsia="Arial" w:hAnsi="Arial"/>
          <w:i/>
          <w:iCs/>
          <w:color w:val="595959"/>
          <w:sz w:val="18"/>
          <w:szCs w:val="18"/>
        </w:rPr>
        <w:t xml:space="preserve">Figura 10. Pantalla de resultados con el resumen de búsqueda y la tabla de datos</w:t>
      </w:r>
    </w:p>
    <w:p>
      <w:pPr>
        <w:pStyle w:val="Heading2"/>
        <w:spacing w:after="120" w:before="280"/>
      </w:pPr>
      <w:r>
        <w:rPr>
          <w:rFonts w:ascii="Arial" w:cs="Arial" w:eastAsia="Arial" w:hAnsi="Arial"/>
          <w:b/>
          <w:bCs/>
          <w:color w:val="00334c"/>
          <w:sz w:val="26"/>
          <w:szCs w:val="26"/>
        </w:rPr>
        <w:t xml:space="preserve">6.1 Parámetros de búsqueda utilizados</w:t>
      </w:r>
    </w:p>
    <w:p>
      <w:pPr>
        <w:spacing w:after="120"/>
      </w:pPr>
      <w:r>
        <w:rPr>
          <w:rFonts w:ascii="Arial" w:cs="Arial" w:eastAsia="Arial" w:hAnsi="Arial"/>
          <w:sz w:val="20"/>
          <w:szCs w:val="20"/>
        </w:rPr>
        <w:t xml:space="preserve">En la parte superior de la pantalla, bajo el título "Search parameters used", se muestran los filtros que se aplicaron en la búsqueda. Esto permite saber en todo momento qué criterios están activos.</w:t>
      </w:r>
    </w:p>
    <w:p>
      <w:pPr>
        <w:pStyle w:val="Heading2"/>
        <w:spacing w:after="120" w:before="280"/>
      </w:pPr>
      <w:r>
        <w:rPr>
          <w:rFonts w:ascii="Arial" w:cs="Arial" w:eastAsia="Arial" w:hAnsi="Arial"/>
          <w:b/>
          <w:bCs/>
          <w:color w:val="00334c"/>
          <w:sz w:val="26"/>
          <w:szCs w:val="26"/>
        </w:rPr>
        <w:t xml:space="preserve">6.2 Panel de acordeones de filtros y herramientas</w:t>
      </w:r>
    </w:p>
    <w:p>
      <w:pPr>
        <w:spacing w:after="120"/>
      </w:pPr>
      <w:r>
        <w:rPr>
          <w:rFonts w:ascii="Arial" w:cs="Arial" w:eastAsia="Arial" w:hAnsi="Arial"/>
          <w:sz w:val="20"/>
          <w:szCs w:val="20"/>
        </w:rPr>
        <w:t xml:space="preserve">Bajo los parámetros de búsqueda, hay un panel con tres acordeones que se pueden expandir de forma independiente:</w:t>
      </w:r>
    </w:p>
    <w:p>
      <w:pPr>
        <w:pStyle w:val="Heading3"/>
        <w:spacing w:after="100" w:before="200"/>
      </w:pPr>
      <w:r>
        <w:rPr>
          <w:rFonts w:ascii="Arial" w:cs="Arial" w:eastAsia="Arial" w:hAnsi="Arial"/>
          <w:b/>
          <w:bCs/>
          <w:color w:val="595959"/>
          <w:sz w:val="22"/>
          <w:szCs w:val="22"/>
        </w:rPr>
        <w:t xml:space="preserve">6.2.1 Results filtering — Filtros adicionales sobre resultados</w:t>
      </w:r>
    </w:p>
    <w:p>
      <w:pPr>
        <w:spacing w:after="120"/>
      </w:pPr>
      <w:r>
        <w:rPr>
          <w:rFonts w:ascii="Arial" w:cs="Arial" w:eastAsia="Arial" w:hAnsi="Arial"/>
          <w:sz w:val="20"/>
          <w:szCs w:val="20"/>
        </w:rPr>
        <w:t xml:space="preserve">Permite refinar los resultados sin volver a la pantalla de búsqueda. Expanda el acordeón, ajuste los filtros disponibles y pulse el botón de aplicar.</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Acordeón "Results filtering" expandido con los campos de filtro adicionales sobre la tabla de resultados]</w:t>
      </w:r>
    </w:p>
    <w:p>
      <w:pPr>
        <w:spacing w:after="200"/>
        <w:jc w:val="center"/>
      </w:pPr>
      <w:r>
        <w:rPr>
          <w:rFonts w:ascii="Arial" w:cs="Arial" w:eastAsia="Arial" w:hAnsi="Arial"/>
          <w:i/>
          <w:iCs/>
          <w:color w:val="595959"/>
          <w:sz w:val="18"/>
          <w:szCs w:val="18"/>
        </w:rPr>
        <w:t xml:space="preserve">Figura 11. Panel de filtros adicionales sobre los resultados</w:t>
      </w:r>
    </w:p>
    <w:p>
      <w:pPr>
        <w:pStyle w:val="Heading3"/>
        <w:spacing w:after="100" w:before="200"/>
      </w:pPr>
      <w:r>
        <w:rPr>
          <w:rFonts w:ascii="Arial" w:cs="Arial" w:eastAsia="Arial" w:hAnsi="Arial"/>
          <w:b/>
          <w:bCs/>
          <w:color w:val="595959"/>
          <w:sz w:val="22"/>
          <w:szCs w:val="22"/>
        </w:rPr>
        <w:t xml:space="preserve">6.2.2 Clinical categorie/s version/s used — Categorías clínicas</w:t>
      </w:r>
    </w:p>
    <w:p>
      <w:pPr>
        <w:spacing w:after="120"/>
      </w:pPr>
      <w:r>
        <w:rPr>
          <w:rFonts w:ascii="Arial" w:cs="Arial" w:eastAsia="Arial" w:hAnsi="Arial"/>
          <w:sz w:val="20"/>
          <w:szCs w:val="20"/>
        </w:rPr>
        <w:t xml:space="preserve">Esta herramienta permite calcular dinámicamente las categorías clínicas S/I/R de los aislamientos y añadirlas como columnas en la tabla de MICs (visible más abajo en la pantalla).</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Acordeón "Clinical categories" expandido, mostrando los dos selectores de versión de breakpoints, los campos de alias y el botón Calculate]</w:t>
      </w:r>
    </w:p>
    <w:p>
      <w:pPr>
        <w:spacing w:after="200"/>
        <w:jc w:val="center"/>
      </w:pPr>
      <w:r>
        <w:rPr>
          <w:rFonts w:ascii="Arial" w:cs="Arial" w:eastAsia="Arial" w:hAnsi="Arial"/>
          <w:i/>
          <w:iCs/>
          <w:color w:val="595959"/>
          <w:sz w:val="18"/>
          <w:szCs w:val="18"/>
        </w:rPr>
        <w:t xml:space="preserve">Figura 12. Panel de selección de versiones de breakpoints para el cálculo de categorías clínicas</w:t>
      </w:r>
    </w:p>
    <w:p>
      <w:pPr>
        <w:spacing w:after="120"/>
      </w:pPr>
      <w:r>
        <w:rPr>
          <w:rFonts w:ascii="Arial" w:cs="Arial" w:eastAsia="Arial" w:hAnsi="Arial"/>
          <w:sz w:val="20"/>
          <w:szCs w:val="20"/>
        </w:rPr>
        <w:t xml:space="preserve">Cómo usar el calculador de categorías clínicas:</w:t>
      </w:r>
    </w:p>
    <w:p>
      <w:pPr>
        <w:pStyle w:val="ListParagraph"/>
        <w:numPr>
          <w:ilvl w:val="0"/>
          <w:numId w:val="3"/>
        </w:numPr>
        <w:spacing w:after="100"/>
      </w:pPr>
      <w:r>
        <w:rPr>
          <w:rFonts w:ascii="Arial" w:cs="Arial" w:eastAsia="Arial" w:hAnsi="Arial"/>
          <w:sz w:val="20"/>
          <w:szCs w:val="20"/>
        </w:rPr>
        <w:t xml:space="preserve">Expanda el acordeón "Clinical categorie/s version/s used".</w:t>
      </w:r>
    </w:p>
    <w:p>
      <w:pPr>
        <w:pStyle w:val="ListParagraph"/>
        <w:numPr>
          <w:ilvl w:val="0"/>
          <w:numId w:val="3"/>
        </w:numPr>
        <w:spacing w:after="100"/>
      </w:pPr>
      <w:r>
        <w:rPr>
          <w:rFonts w:ascii="Arial" w:cs="Arial" w:eastAsia="Arial" w:hAnsi="Arial"/>
          <w:sz w:val="20"/>
          <w:szCs w:val="20"/>
        </w:rPr>
        <w:t xml:space="preserve">En el selector "Clinical category version 1", elija la primera versión de breakpoints a aplicar (ej. EUCAST 2024).</w:t>
      </w:r>
    </w:p>
    <w:p>
      <w:pPr>
        <w:pStyle w:val="ListParagraph"/>
        <w:numPr>
          <w:ilvl w:val="0"/>
          <w:numId w:val="3"/>
        </w:numPr>
        <w:spacing w:after="100"/>
      </w:pPr>
      <w:r>
        <w:rPr>
          <w:rFonts w:ascii="Arial" w:cs="Arial" w:eastAsia="Arial" w:hAnsi="Arial"/>
          <w:sz w:val="20"/>
          <w:szCs w:val="20"/>
        </w:rPr>
        <w:t xml:space="preserve">Opcionalmente, introduzca un alias corto en el campo de texto inferior (ej. "EUCAST v14"). Este alias aparecerá como encabezado de columna en la tabla.</w:t>
      </w:r>
    </w:p>
    <w:p>
      <w:pPr>
        <w:pStyle w:val="ListParagraph"/>
        <w:numPr>
          <w:ilvl w:val="0"/>
          <w:numId w:val="3"/>
        </w:numPr>
        <w:spacing w:after="100"/>
      </w:pPr>
      <w:r>
        <w:rPr>
          <w:rFonts w:ascii="Arial" w:cs="Arial" w:eastAsia="Arial" w:hAnsi="Arial"/>
          <w:sz w:val="20"/>
          <w:szCs w:val="20"/>
        </w:rPr>
        <w:t xml:space="preserve">Repita los pasos 2-3 para "Clinical category version 2" si desea comparar dos versiones simultáneamente.</w:t>
      </w:r>
    </w:p>
    <w:p>
      <w:pPr>
        <w:pStyle w:val="ListParagraph"/>
        <w:numPr>
          <w:ilvl w:val="0"/>
          <w:numId w:val="3"/>
        </w:numPr>
        <w:spacing w:after="100"/>
      </w:pPr>
      <w:r>
        <w:rPr>
          <w:rFonts w:ascii="Arial" w:cs="Arial" w:eastAsia="Arial" w:hAnsi="Arial"/>
          <w:sz w:val="20"/>
          <w:szCs w:val="20"/>
        </w:rPr>
        <w:t xml:space="preserve">Pulse el botón "Calculate". La pantalla se recargará mostrando la tabla de MICs con las columnas de categoría clínica añadidas.</w:t>
      </w:r>
    </w:p>
    <w:p>
      <w:pPr>
        <w:shd w:fill="E8F5E9" w:val="clear"/>
        <w:spacing w:after="120"/>
        <w:ind w:left="360"/>
      </w:pPr>
      <w:r>
        <w:rPr>
          <w:rFonts w:ascii="Arial" w:cs="Arial" w:eastAsia="Arial" w:hAnsi="Arial"/>
          <w:i/>
          <w:iCs/>
          <w:color w:val="2D6A4F"/>
          <w:sz w:val="19"/>
          <w:szCs w:val="19"/>
        </w:rPr>
        <w:t xml:space="preserve">💡 Consejo: Si solo quiere usar una versión de breakpoints, deje el segundo selector en "--- Not selected ---".</w:t>
      </w:r>
    </w:p>
    <w:p>
      <w:pPr>
        <w:shd w:fill="E8F5E9" w:val="clear"/>
        <w:spacing w:after="120"/>
        <w:ind w:left="360"/>
      </w:pPr>
      <w:r>
        <w:rPr>
          <w:rFonts w:ascii="Arial" w:cs="Arial" w:eastAsia="Arial" w:hAnsi="Arial"/>
          <w:i/>
          <w:iCs/>
          <w:color w:val="2D6A4F"/>
          <w:sz w:val="19"/>
          <w:szCs w:val="19"/>
        </w:rPr>
        <w:t xml:space="preserve">💡 Consejo: Las siglas de los antibióticos son las estándar: MER = meropenem, PIP = piperacilina, CAZ = ceftazidima, etc.</w:t>
      </w:r>
    </w:p>
    <w:p>
      <w:pPr>
        <w:pStyle w:val="Heading3"/>
        <w:spacing w:after="100" w:before="200"/>
      </w:pPr>
      <w:r>
        <w:rPr>
          <w:rFonts w:ascii="Arial" w:cs="Arial" w:eastAsia="Arial" w:hAnsi="Arial"/>
          <w:b/>
          <w:bCs/>
          <w:color w:val="595959"/>
          <w:sz w:val="22"/>
          <w:szCs w:val="22"/>
        </w:rPr>
        <w:t xml:space="preserve">6.2.3 Whole Genome Sequencing filters — Filtros del resistoma</w:t>
      </w:r>
    </w:p>
    <w:p>
      <w:pPr>
        <w:spacing w:after="120"/>
      </w:pPr>
      <w:r>
        <w:rPr>
          <w:rFonts w:ascii="Arial" w:cs="Arial" w:eastAsia="Arial" w:hAnsi="Arial"/>
          <w:sz w:val="20"/>
          <w:szCs w:val="20"/>
        </w:rPr>
        <w:t xml:space="preserve">Permite añadir columnas de genes del resistoma a la tabla de resultados y mostrar el heatmap sin tener que volver a la pantalla de búsqueda.</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Acordeón "Whole Genome Sequencing filters" expandido, con el selector de tipo de locus, el selector de heatmap y el selector múltiple de genes con los botones de subconjunto]</w:t>
      </w:r>
    </w:p>
    <w:p>
      <w:pPr>
        <w:spacing w:after="200"/>
        <w:jc w:val="center"/>
      </w:pPr>
      <w:r>
        <w:rPr>
          <w:rFonts w:ascii="Arial" w:cs="Arial" w:eastAsia="Arial" w:hAnsi="Arial"/>
          <w:i/>
          <w:iCs/>
          <w:color w:val="595959"/>
          <w:sz w:val="18"/>
          <w:szCs w:val="18"/>
        </w:rPr>
        <w:t xml:space="preserve">Figura 13. Panel de filtros WGS en la pantalla de resultados</w:t>
      </w:r>
    </w:p>
    <w:p>
      <w:pPr>
        <w:spacing w:after="120"/>
      </w:pPr>
      <w:r>
        <w:rPr>
          <w:rFonts w:ascii="Arial" w:cs="Arial" w:eastAsia="Arial" w:hAnsi="Arial"/>
          <w:sz w:val="20"/>
          <w:szCs w:val="20"/>
        </w:rPr>
        <w:t xml:space="preserve">Cómo añadir columnas de genes:</w:t>
      </w:r>
    </w:p>
    <w:p>
      <w:pPr>
        <w:pStyle w:val="ListParagraph"/>
        <w:numPr>
          <w:ilvl w:val="0"/>
          <w:numId w:val="3"/>
        </w:numPr>
        <w:spacing w:after="100"/>
      </w:pPr>
      <w:r>
        <w:rPr>
          <w:rFonts w:ascii="Arial" w:cs="Arial" w:eastAsia="Arial" w:hAnsi="Arial"/>
          <w:sz w:val="20"/>
          <w:szCs w:val="20"/>
        </w:rPr>
        <w:t xml:space="preserve">Expanda el acordeón "Whole Genome Sequencing filters".</w:t>
      </w:r>
    </w:p>
    <w:p>
      <w:pPr>
        <w:pStyle w:val="ListParagraph"/>
        <w:numPr>
          <w:ilvl w:val="0"/>
          <w:numId w:val="3"/>
        </w:numPr>
        <w:spacing w:after="100"/>
      </w:pPr>
      <w:r>
        <w:rPr>
          <w:rFonts w:ascii="Arial" w:cs="Arial" w:eastAsia="Arial" w:hAnsi="Arial"/>
          <w:sz w:val="20"/>
          <w:szCs w:val="20"/>
        </w:rPr>
        <w:t xml:space="preserve">Seleccione "Loci data type": "Mutations only" para ver solo mutaciones, o "Mutations + Polymorphisms" para ver también los polimorfismos.</w:t>
      </w:r>
    </w:p>
    <w:p>
      <w:pPr>
        <w:pStyle w:val="ListParagraph"/>
        <w:numPr>
          <w:ilvl w:val="0"/>
          <w:numId w:val="3"/>
        </w:numPr>
        <w:spacing w:after="100"/>
      </w:pPr>
      <w:r>
        <w:rPr>
          <w:rFonts w:ascii="Arial" w:cs="Arial" w:eastAsia="Arial" w:hAnsi="Arial"/>
          <w:sz w:val="20"/>
          <w:szCs w:val="20"/>
        </w:rPr>
        <w:t xml:space="preserve">En "Show heatmap", seleccione "Yes" si desea ver el mapa de calor del resistoma.</w:t>
      </w:r>
    </w:p>
    <w:p>
      <w:pPr>
        <w:pStyle w:val="ListParagraph"/>
        <w:numPr>
          <w:ilvl w:val="0"/>
          <w:numId w:val="3"/>
        </w:numPr>
        <w:spacing w:after="100"/>
      </w:pPr>
      <w:r>
        <w:rPr>
          <w:rFonts w:ascii="Arial" w:cs="Arial" w:eastAsia="Arial" w:hAnsi="Arial"/>
          <w:sz w:val="20"/>
          <w:szCs w:val="20"/>
        </w:rPr>
        <w:t xml:space="preserve">En el selector "Genes to display as columns", elija los genes que quiere ver. Puede usar los botones de subconjunto para seleccionar grupos predefinidos.</w:t>
      </w:r>
    </w:p>
    <w:p>
      <w:pPr>
        <w:pStyle w:val="ListParagraph"/>
        <w:numPr>
          <w:ilvl w:val="0"/>
          <w:numId w:val="3"/>
        </w:numPr>
        <w:spacing w:after="100"/>
      </w:pPr>
      <w:r>
        <w:rPr>
          <w:rFonts w:ascii="Arial" w:cs="Arial" w:eastAsia="Arial" w:hAnsi="Arial"/>
          <w:sz w:val="20"/>
          <w:szCs w:val="20"/>
        </w:rPr>
        <w:t xml:space="preserve">Pulse "Apply". La tabla se recargará con las columnas de genes seleccionadas.</w:t>
      </w:r>
    </w:p>
    <w:p>
      <w:pPr>
        <w:pStyle w:val="Heading2"/>
        <w:spacing w:after="120" w:before="280"/>
      </w:pPr>
      <w:r>
        <w:rPr>
          <w:rFonts w:ascii="Arial" w:cs="Arial" w:eastAsia="Arial" w:hAnsi="Arial"/>
          <w:b/>
          <w:bCs/>
          <w:color w:val="00334c"/>
          <w:sz w:val="26"/>
          <w:szCs w:val="26"/>
        </w:rPr>
        <w:t xml:space="preserve">6.3 Tabla de resultados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La tabla de resultados completa con columnas de datos generales, clínicos, MIC y columnas de genes del resistoma, con controles de paginación y selector de columnas visibles]</w:t>
      </w:r>
    </w:p>
    <w:p>
      <w:pPr>
        <w:spacing w:after="200"/>
        <w:jc w:val="center"/>
      </w:pPr>
      <w:r>
        <w:rPr>
          <w:rFonts w:ascii="Arial" w:cs="Arial" w:eastAsia="Arial" w:hAnsi="Arial"/>
          <w:i/>
          <w:iCs/>
          <w:color w:val="595959"/>
          <w:sz w:val="18"/>
          <w:szCs w:val="18"/>
        </w:rPr>
        <w:t xml:space="preserve">Figura 14. Tabla de resultados con datos de aislamientos y columnas de genes del resistoma</w:t>
      </w:r>
    </w:p>
    <w:p>
      <w:pPr>
        <w:spacing w:after="120"/>
      </w:pPr>
      <w:r>
        <w:rPr>
          <w:rFonts w:ascii="Arial" w:cs="Arial" w:eastAsia="Arial" w:hAnsi="Arial"/>
          <w:sz w:val="20"/>
          <w:szCs w:val="20"/>
        </w:rPr>
        <w:t xml:space="preserve">La tabla de resultados muestra todos los aislamientos filtrados con sus datos. Funcionalidades principales:</w:t>
      </w:r>
    </w:p>
    <w:p>
      <w:pPr>
        <w:pStyle w:val="ListParagraph"/>
        <w:numPr>
          <w:ilvl w:val="0"/>
          <w:numId w:val="2"/>
        </w:numPr>
        <w:spacing w:after="80"/>
      </w:pPr>
      <w:r>
        <w:rPr>
          <w:rFonts w:ascii="Arial" w:cs="Arial" w:eastAsia="Arial" w:hAnsi="Arial"/>
          <w:sz w:val="20"/>
          <w:szCs w:val="20"/>
        </w:rPr>
        <w:t xml:space="preserve">Ordenación: haga clic en el encabezado de cualquier columna para ordenar los resultados por esa columna (ascendente o descendente).</w:t>
      </w:r>
    </w:p>
    <w:p>
      <w:pPr>
        <w:pStyle w:val="ListParagraph"/>
        <w:numPr>
          <w:ilvl w:val="0"/>
          <w:numId w:val="2"/>
        </w:numPr>
        <w:spacing w:after="80"/>
      </w:pPr>
      <w:r>
        <w:rPr>
          <w:rFonts w:ascii="Arial" w:cs="Arial" w:eastAsia="Arial" w:hAnsi="Arial"/>
          <w:sz w:val="20"/>
          <w:szCs w:val="20"/>
        </w:rPr>
        <w:t xml:space="preserve">Paginación: use los controles de paginación en la parte inferior de la tabla para navegar entre páginas.</w:t>
      </w:r>
    </w:p>
    <w:p>
      <w:pPr>
        <w:pStyle w:val="ListParagraph"/>
        <w:numPr>
          <w:ilvl w:val="0"/>
          <w:numId w:val="2"/>
        </w:numPr>
        <w:spacing w:after="80"/>
      </w:pPr>
      <w:r>
        <w:rPr>
          <w:rFonts w:ascii="Arial" w:cs="Arial" w:eastAsia="Arial" w:hAnsi="Arial"/>
          <w:sz w:val="20"/>
          <w:szCs w:val="20"/>
        </w:rPr>
        <w:t xml:space="preserve">Filas por página: use el selector "Rows per page" sobre la tabla para mostrar 10, 25, 50, 100 o 250 filas por página.</w:t>
      </w:r>
    </w:p>
    <w:p>
      <w:pPr>
        <w:pStyle w:val="ListParagraph"/>
        <w:numPr>
          <w:ilvl w:val="0"/>
          <w:numId w:val="2"/>
        </w:numPr>
        <w:spacing w:after="80"/>
      </w:pPr>
      <w:r>
        <w:rPr>
          <w:rFonts w:ascii="Arial" w:cs="Arial" w:eastAsia="Arial" w:hAnsi="Arial"/>
          <w:sz w:val="20"/>
          <w:szCs w:val="20"/>
        </w:rPr>
        <w:t xml:space="preserve">Selector de columnas: el botón con el icono de columnas (columna-shifter) permite mostrar u ocultar columnas específicas de la tabla.</w:t>
      </w:r>
    </w:p>
    <w:p>
      <w:pPr>
        <w:shd w:fill="E8F5E9" w:val="clear"/>
        <w:spacing w:after="120"/>
        <w:ind w:left="360"/>
      </w:pPr>
      <w:r>
        <w:rPr>
          <w:rFonts w:ascii="Arial" w:cs="Arial" w:eastAsia="Arial" w:hAnsi="Arial"/>
          <w:i/>
          <w:iCs/>
          <w:color w:val="2D6A4F"/>
          <w:sz w:val="19"/>
          <w:szCs w:val="19"/>
        </w:rPr>
        <w:t xml:space="preserve">💡 Consejo: Para análisis de grandes conjuntos de datos, use la exportación a Excel en lugar de aumentar las filas por página.</w:t>
      </w:r>
    </w:p>
    <w:p>
      <w:pPr>
        <w:pStyle w:val="Heading2"/>
        <w:spacing w:after="120" w:before="280"/>
      </w:pPr>
      <w:r>
        <w:rPr>
          <w:rFonts w:ascii="Arial" w:cs="Arial" w:eastAsia="Arial" w:hAnsi="Arial"/>
          <w:b/>
          <w:bCs/>
          <w:color w:val="00334c"/>
          <w:sz w:val="26"/>
          <w:szCs w:val="26"/>
        </w:rPr>
        <w:t xml:space="preserve">6.4 Heatmap del resistoma</w:t>
      </w:r>
    </w:p>
    <w:p>
      <w:pPr>
        <w:spacing w:after="120"/>
      </w:pPr>
      <w:r>
        <w:rPr>
          <w:rFonts w:ascii="Arial" w:cs="Arial" w:eastAsia="Arial" w:hAnsi="Arial"/>
          <w:sz w:val="20"/>
          <w:szCs w:val="20"/>
        </w:rPr>
        <w:t xml:space="preserve">Si ha activado "Show heatmap: Yes", debajo de la tabla aparecerá el mapa de calor del resistoma para los aislamientos de la página actual.</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Heatmap del resistoma mostrando una matriz de aislamientos (eje Y) vs genes (eje X), con celdas de colores según el estado mutacional: gris claro (WT), rojo (Mutación), azul (Polimorfismo), morado (Ambos)]</w:t>
      </w:r>
    </w:p>
    <w:p>
      <w:pPr>
        <w:spacing w:after="200"/>
        <w:jc w:val="center"/>
      </w:pPr>
      <w:r>
        <w:rPr>
          <w:rFonts w:ascii="Arial" w:cs="Arial" w:eastAsia="Arial" w:hAnsi="Arial"/>
          <w:i/>
          <w:iCs/>
          <w:color w:val="595959"/>
          <w:sz w:val="18"/>
          <w:szCs w:val="18"/>
        </w:rPr>
        <w:t xml:space="preserve">Figura 15. Heatmap interactivo del resistoma mutacional. Cada celda representa el estado de un gen para un aislado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w:t>
            </w:r>
          </w:p>
        </w:tc>
        <w:tc>
          <w:tcPr>
            <w:tcW w:type="dxa" w:w="2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Significado</w:t>
            </w:r>
          </w:p>
        </w:tc>
        <w:tc>
          <w:tcPr>
            <w:tcW w:type="dxa" w:w="35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Gris claro (#f0f0f0)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(Wild Type)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 gen no presenta variantes respecto a la cepa de referencia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 Rojo claro (#ffb3b3)</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Mutación</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El gen presenta una o más mutaciones de resistencia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Azul claro (#b3d4ff)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Polimorfismo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 gen presenta polimorfismos (sin mutaciones de resistencia)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 Morado claro (#d4b3ff)</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Ambos (Both)</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El gen presenta tanto mutaciones como polimorfismos</w:t>
            </w:r>
          </w:p>
        </w:tc>
      </w:tr>
    </w:tbl>
    <w:p>
      <w:pPr>
        <w:spacing w:after="180"/>
        <w:jc w:val="center"/>
      </w:pPr>
      <w:r>
        <w:rPr>
          <w:rFonts w:ascii="Arial" w:cs="Arial" w:eastAsia="Arial" w:hAnsi="Arial"/>
          <w:i/>
          <w:iCs/>
          <w:color w:val="595959"/>
          <w:sz w:val="18"/>
          <w:szCs w:val="18"/>
        </w:rPr>
        <w:t xml:space="preserve">Tabla 4. Código de colores del heatmap del resistoma</w:t>
      </w:r>
    </w:p>
    <w:p>
      <w:pPr>
        <w:spacing w:after="120"/>
      </w:pPr>
      <w:r>
        <w:rPr>
          <w:rFonts w:ascii="Arial" w:cs="Arial" w:eastAsia="Arial" w:hAnsi="Arial"/>
          <w:sz w:val="20"/>
          <w:szCs w:val="20"/>
        </w:rPr>
        <w:t xml:space="preserve">El heatmap es interactivo: pase el cursor sobre cualquier celda para ver el detalle de las mutaciones y polimorfismos de ese gen para ese aislado.</w:t>
      </w:r>
    </w:p>
    <w:p>
      <w:pPr>
        <w:shd w:fill="E8F5E9" w:val="clear"/>
        <w:spacing w:after="120"/>
        <w:ind w:left="360"/>
      </w:pPr>
      <w:r>
        <w:rPr>
          <w:rFonts w:ascii="Arial" w:cs="Arial" w:eastAsia="Arial" w:hAnsi="Arial"/>
          <w:i/>
          <w:iCs/>
          <w:color w:val="2D6A4F"/>
          <w:sz w:val="19"/>
          <w:szCs w:val="19"/>
        </w:rPr>
        <w:t xml:space="preserve">💡 Consejo: Para ver el heatmap completo de todos los registros filtrados (no solo la página actual), pulse el botón "🖨 Print PDF (all records)" que aparece junto al título del heatmap. Se abrirá una nueva ventana con el heatmap completo listo para imprimir o guardar como PDF.</w:t>
      </w:r>
    </w:p>
    <w:p>
      <w:pPr>
        <w:pStyle w:val="Heading2"/>
        <w:spacing w:after="120" w:before="280"/>
      </w:pPr>
      <w:r>
        <w:rPr>
          <w:rFonts w:ascii="Arial" w:cs="Arial" w:eastAsia="Arial" w:hAnsi="Arial"/>
          <w:b/>
          <w:bCs/>
          <w:color w:val="00334c"/>
          <w:sz w:val="26"/>
          <w:szCs w:val="26"/>
        </w:rPr>
        <w:t xml:space="preserve">6.5 Exportación de datos</w:t>
      </w:r>
    </w:p>
    <w:p>
      <w:pPr>
        <w:spacing w:after="120"/>
      </w:pPr>
      <w:r>
        <w:rPr>
          <w:rFonts w:ascii="Arial" w:cs="Arial" w:eastAsia="Arial" w:hAnsi="Arial"/>
          <w:sz w:val="20"/>
          <w:szCs w:val="20"/>
        </w:rPr>
        <w:t xml:space="preserve">Sobre la tabla de resultados hay botones de exportación:</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Fila de botones de exportación: "Export to CSV", "Export to XLSX", "Export to JSON" y el dropdown "Custom export"]</w:t>
      </w:r>
    </w:p>
    <w:p>
      <w:pPr>
        <w:spacing w:after="200"/>
        <w:jc w:val="center"/>
      </w:pPr>
      <w:r>
        <w:rPr>
          <w:rFonts w:ascii="Arial" w:cs="Arial" w:eastAsia="Arial" w:hAnsi="Arial"/>
          <w:i/>
          <w:iCs/>
          <w:color w:val="595959"/>
          <w:sz w:val="18"/>
          <w:szCs w:val="18"/>
        </w:rPr>
        <w:t xml:space="preserve">Figura 16. Botones de exportación de datos en la pantalla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Botón / Opción</w:t>
            </w:r>
          </w:p>
        </w:tc>
        <w:tc>
          <w:tcPr>
            <w:tcW w:type="dxa" w:w="18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Formato</w:t>
            </w:r>
          </w:p>
        </w:tc>
        <w:tc>
          <w:tcPr>
            <w:tcW w:type="dxa" w:w="37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 exportado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to CSV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CSV</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Todos los datos de la tabla de resultados actual (columnas visibles)</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Export to XLSX format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Excel (.xlsx)</w:t>
            </w:r>
          </w:p>
        </w:tc>
        <w:tc>
          <w:tcPr>
            <w:tcW w:type="dxa" w:w="37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Todos los datos de la tabla de resultados actual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to JSON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Todos los datos de la tabla de resultados en formato JSON</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Custom export → MePRAM data model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CSV</w:t>
            </w:r>
          </w:p>
        </w:tc>
        <w:tc>
          <w:tcPr>
            <w:tcW w:type="dxa" w:w="37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Preset de columnas para exportación al modelo de datos MePRAM (isolate_name, species, isolate_source, isolation_date)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export → MIC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Preset de columnas con solo datos MIC (nombre del aislado, especie, fecha y todos los antibióticos)</w:t>
            </w:r>
          </w:p>
        </w:tc>
      </w:tr>
    </w:tbl>
    <w:p>
      <w:pPr>
        <w:spacing w:after="180"/>
        <w:jc w:val="center"/>
      </w:pPr>
      <w:r>
        <w:rPr>
          <w:rFonts w:ascii="Arial" w:cs="Arial" w:eastAsia="Arial" w:hAnsi="Arial"/>
          <w:i/>
          <w:iCs/>
          <w:color w:val="595959"/>
          <w:sz w:val="18"/>
          <w:szCs w:val="18"/>
        </w:rPr>
        <w:t xml:space="preserve">Tabla 5. Opciones de exportación de datos</w:t>
      </w:r>
    </w:p>
    <w:p>
      <w:pPr>
        <w:shd w:fill="E8F5E9" w:val="clear"/>
        <w:spacing w:after="120"/>
        <w:ind w:left="360"/>
      </w:pPr>
      <w:r>
        <w:rPr>
          <w:rFonts w:ascii="Arial" w:cs="Arial" w:eastAsia="Arial" w:hAnsi="Arial"/>
          <w:i/>
          <w:iCs/>
          <w:color w:val="2D6A4F"/>
          <w:sz w:val="19"/>
          <w:szCs w:val="19"/>
        </w:rPr>
        <w:t xml:space="preserve">💡 Consejo: Si ha añadido columnas de genes del resistoma, estas también se incluirán en la exportación estándar.</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7. Tabla de MICs y Categorías Clínicas</w:t>
      </w:r>
    </w:p>
    <w:p>
      <w:pPr>
        <w:spacing w:after="120"/>
      </w:pPr>
      <w:r>
        <w:rPr>
          <w:rFonts w:ascii="Arial" w:cs="Arial" w:eastAsia="Arial" w:hAnsi="Arial"/>
          <w:sz w:val="20"/>
          <w:szCs w:val="20"/>
        </w:rPr>
        <w:t xml:space="preserve">Si ha seleccionado al menos una versión de breakpoints en el panel "Clinical categorie/s version/s used", al final de la pantalla de resultados aparecerá la Tabla de MICs.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Tabla de MICs mostrando: columna de nombre del aislado, columna MIC por antibiótico, columna de categoría clínica versión 1 (alias EUCAST v14) y columna de categoría clínica versión 2 (alias CLSI 2024), para todos los antibióticos de la lista]</w:t>
      </w:r>
    </w:p>
    <w:p>
      <w:pPr>
        <w:spacing w:after="200"/>
        <w:jc w:val="center"/>
      </w:pPr>
      <w:r>
        <w:rPr>
          <w:rFonts w:ascii="Arial" w:cs="Arial" w:eastAsia="Arial" w:hAnsi="Arial"/>
          <w:i/>
          <w:iCs/>
          <w:color w:val="595959"/>
          <w:sz w:val="18"/>
          <w:szCs w:val="18"/>
        </w:rPr>
        <w:t xml:space="preserve">Figura 17. Tabla de MICs con columnas de categoría clínica calculadas dinámicamente para dos versiones de breakpoints</w:t>
      </w:r>
    </w:p>
    <w:p>
      <w:pPr>
        <w:pStyle w:val="Heading2"/>
        <w:spacing w:after="120" w:before="280"/>
      </w:pPr>
      <w:r>
        <w:rPr>
          <w:rFonts w:ascii="Arial" w:cs="Arial" w:eastAsia="Arial" w:hAnsi="Arial"/>
          <w:b/>
          <w:bCs/>
          <w:color w:val="00334c"/>
          <w:sz w:val="26"/>
          <w:szCs w:val="26"/>
        </w:rPr>
        <w:t xml:space="preserve">7.1 Interpretación de las categorías clínicas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Significado</w:t>
            </w:r>
          </w:p>
        </w:tc>
        <w:tc>
          <w:tcPr>
            <w:tcW w:type="dxa" w:w="45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 clínica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Susceptible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Alta probabilidad de respuesta al tratamiento con el antibiótico a dosis estándar</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Intermedio</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Susceptible con exposición incrementada. Puede responder con dosis máximas o en lugares de alta concentración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Resistente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responde al tratamiento con el antibiótico a las dosis habituales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Susceptible*</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Susceptible con comparador (≤) en el límite del breakpoint S (un dilución por encima)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Resistente*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Resistente con comparador (≥) en el límite del breakpoint R (un dilución por debajo)</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 Breakpoint</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 hay breakpoint definido para este antibiótico en la versión seleccionada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Insuficiencia de evidencia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 valor MIC original era IE (Insufficient Evidence)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Sin dato</w:t>
            </w:r>
          </w:p>
        </w:tc>
        <w:tc>
          <w:tcPr>
            <w:tcW w:type="dxa" w:w="4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 hay valor MIC registrado para este aislado y antibiótico</w:t>
            </w:r>
          </w:p>
        </w:tc>
      </w:tr>
    </w:tbl>
    <w:p>
      <w:pPr>
        <w:spacing w:after="180"/>
        <w:jc w:val="center"/>
      </w:pPr>
      <w:r>
        <w:rPr>
          <w:rFonts w:ascii="Arial" w:cs="Arial" w:eastAsia="Arial" w:hAnsi="Arial"/>
          <w:i/>
          <w:iCs/>
          <w:color w:val="595959"/>
          <w:sz w:val="18"/>
          <w:szCs w:val="18"/>
        </w:rPr>
        <w:t xml:space="preserve">Tabla 6. Interpretación de los valores de categoría clínica</w:t>
      </w:r>
    </w:p>
    <w:p>
      <w:pPr>
        <w:pStyle w:val="Heading2"/>
        <w:spacing w:after="120" w:before="280"/>
      </w:pPr>
      <w:r>
        <w:rPr>
          <w:rFonts w:ascii="Arial" w:cs="Arial" w:eastAsia="Arial" w:hAnsi="Arial"/>
          <w:b/>
          <w:bCs/>
          <w:color w:val="00334c"/>
          <w:sz w:val="26"/>
          <w:szCs w:val="26"/>
        </w:rPr>
        <w:t xml:space="preserve">7.2 Exportación de la tabla de MICs</w:t>
      </w:r>
    </w:p>
    <w:p>
      <w:pPr>
        <w:spacing w:after="120"/>
      </w:pPr>
      <w:r>
        <w:rPr>
          <w:rFonts w:ascii="Arial" w:cs="Arial" w:eastAsia="Arial" w:hAnsi="Arial"/>
          <w:sz w:val="20"/>
          <w:szCs w:val="20"/>
        </w:rPr>
        <w:t xml:space="preserve">Sobre la tabla de MICs hay botones de exportación específicos:</w:t>
      </w:r>
    </w:p>
    <w:p>
      <w:pPr>
        <w:pStyle w:val="ListParagraph"/>
        <w:numPr>
          <w:ilvl w:val="0"/>
          <w:numId w:val="2"/>
        </w:numPr>
        <w:spacing w:after="80"/>
      </w:pPr>
      <w:r>
        <w:rPr>
          <w:rFonts w:ascii="Arial" w:cs="Arial" w:eastAsia="Arial" w:hAnsi="Arial"/>
          <w:sz w:val="20"/>
          <w:szCs w:val="20"/>
        </w:rPr>
        <w:t xml:space="preserve">Export MICs table to CSV: exporta la tabla de MICs con las categorías clínicas calculadas.</w:t>
      </w:r>
    </w:p>
    <w:p>
      <w:pPr>
        <w:pStyle w:val="ListParagraph"/>
        <w:numPr>
          <w:ilvl w:val="0"/>
          <w:numId w:val="2"/>
        </w:numPr>
        <w:spacing w:after="80"/>
      </w:pPr>
      <w:r>
        <w:rPr>
          <w:rFonts w:ascii="Arial" w:cs="Arial" w:eastAsia="Arial" w:hAnsi="Arial"/>
          <w:sz w:val="20"/>
          <w:szCs w:val="20"/>
        </w:rPr>
        <w:t xml:space="preserve">Export MICs table to XLSX: exporta en formato Excel.</w:t>
      </w:r>
    </w:p>
    <w:p>
      <w:pPr>
        <w:pStyle w:val="ListParagraph"/>
        <w:numPr>
          <w:ilvl w:val="0"/>
          <w:numId w:val="2"/>
        </w:numPr>
        <w:spacing w:after="80"/>
      </w:pPr>
      <w:r>
        <w:rPr>
          <w:rFonts w:ascii="Arial" w:cs="Arial" w:eastAsia="Arial" w:hAnsi="Arial"/>
          <w:sz w:val="20"/>
          <w:szCs w:val="20"/>
        </w:rPr>
        <w:t xml:space="preserve">Export MICs table to TXT: exporta en formato texto.</w:t>
      </w:r>
    </w:p>
    <w:p>
      <w:pPr>
        <w:pStyle w:val="ListParagraph"/>
        <w:numPr>
          <w:ilvl w:val="0"/>
          <w:numId w:val="2"/>
        </w:numPr>
        <w:spacing w:after="80"/>
      </w:pPr>
      <w:r>
        <w:rPr>
          <w:rFonts w:ascii="Arial" w:cs="Arial" w:eastAsia="Arial" w:hAnsi="Arial"/>
          <w:sz w:val="20"/>
          <w:szCs w:val="20"/>
        </w:rPr>
        <w:t xml:space="preserve">Download Source Breakpoints Table 1 / 2: descarga el fichero de referencia de la versión de breakpoints seleccionada (si está disponible).</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8.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/dashboard</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Visualizaciones estadísticas interactivas de los datos de la base de datos usando Plotly Dash.</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Dashboard mostrando cuatro visualizaciones: histograma de distribución de Sequence Types, mapa geográfico con la distribución de hospitales, tabla resumen, pie charts de distribución por variables y scatter plot]</w:t>
      </w:r>
    </w:p>
    <w:p>
      <w:pPr>
        <w:spacing w:after="200"/>
        <w:jc w:val="center"/>
      </w:pPr>
      <w:r>
        <w:rPr>
          <w:rFonts w:ascii="Arial" w:cs="Arial" w:eastAsia="Arial" w:hAnsi="Arial"/>
          <w:i/>
          <w:iCs/>
          <w:color w:val="595959"/>
          <w:sz w:val="18"/>
          <w:szCs w:val="18"/>
        </w:rPr>
        <w:t xml:space="preserve">Figura 18. Dashboard con visualizaciones estadísticas interactivas</w:t>
      </w:r>
    </w:p>
    <w:p>
      <w:pPr>
        <w:spacing w:after="120"/>
      </w:pPr>
      <w:r>
        <w:rPr>
          <w:rFonts w:ascii="Arial" w:cs="Arial" w:eastAsia="Arial" w:hAnsi="Arial"/>
          <w:sz w:val="20"/>
          <w:szCs w:val="20"/>
        </w:rPr>
        <w:t xml:space="preserve">El Dashboard contiene las siguientes visualizaciones:</w:t>
      </w:r>
    </w:p>
    <w:p>
      <w:pPr>
        <w:pStyle w:val="ListParagraph"/>
        <w:numPr>
          <w:ilvl w:val="0"/>
          <w:numId w:val="2"/>
        </w:numPr>
        <w:spacing w:after="80"/>
      </w:pPr>
      <w:r>
        <w:rPr>
          <w:rFonts w:ascii="Arial" w:cs="Arial" w:eastAsia="Arial" w:hAnsi="Arial"/>
          <w:sz w:val="20"/>
          <w:szCs w:val="20"/>
        </w:rPr>
        <w:t xml:space="preserve">Histograma de distribución de Sequence Types (ST): muestra la frecuencia de cada tipo de secuencia en la base de datos.</w:t>
      </w:r>
    </w:p>
    <w:p>
      <w:pPr>
        <w:pStyle w:val="ListParagraph"/>
        <w:numPr>
          <w:ilvl w:val="0"/>
          <w:numId w:val="2"/>
        </w:numPr>
        <w:spacing w:after="80"/>
      </w:pPr>
      <w:r>
        <w:rPr>
          <w:rFonts w:ascii="Arial" w:cs="Arial" w:eastAsia="Arial" w:hAnsi="Arial"/>
          <w:sz w:val="20"/>
          <w:szCs w:val="20"/>
        </w:rPr>
        <w:t xml:space="preserve">Mapa geográfico: distribución por hospitales sobre mapa.</w:t>
      </w:r>
    </w:p>
    <w:p>
      <w:pPr>
        <w:pStyle w:val="ListParagraph"/>
        <w:numPr>
          <w:ilvl w:val="0"/>
          <w:numId w:val="2"/>
        </w:numPr>
        <w:spacing w:after="80"/>
      </w:pPr>
      <w:r>
        <w:rPr>
          <w:rFonts w:ascii="Arial" w:cs="Arial" w:eastAsia="Arial" w:hAnsi="Arial"/>
          <w:sz w:val="20"/>
          <w:szCs w:val="20"/>
        </w:rPr>
        <w:t xml:space="preserve">Tabla resumen: datos estadísticos tabulados.</w:t>
      </w:r>
    </w:p>
    <w:p>
      <w:pPr>
        <w:pStyle w:val="ListParagraph"/>
        <w:numPr>
          <w:ilvl w:val="0"/>
          <w:numId w:val="2"/>
        </w:numPr>
        <w:spacing w:after="80"/>
      </w:pPr>
      <w:r>
        <w:rPr>
          <w:rFonts w:ascii="Arial" w:cs="Arial" w:eastAsia="Arial" w:hAnsi="Arial"/>
          <w:sz w:val="20"/>
          <w:szCs w:val="20"/>
        </w:rPr>
        <w:t xml:space="preserve">Pie charts: distribución por variables categóricas.</w:t>
      </w:r>
    </w:p>
    <w:p>
      <w:pPr>
        <w:pStyle w:val="ListParagraph"/>
        <w:numPr>
          <w:ilvl w:val="0"/>
          <w:numId w:val="2"/>
        </w:numPr>
        <w:spacing w:after="80"/>
      </w:pPr>
      <w:r>
        <w:rPr>
          <w:rFonts w:ascii="Arial" w:cs="Arial" w:eastAsia="Arial" w:hAnsi="Arial"/>
          <w:sz w:val="20"/>
          <w:szCs w:val="20"/>
        </w:rPr>
        <w:t xml:space="preserve">Scatter plot: correlación entre variables.</w:t>
      </w:r>
    </w:p>
    <w:p>
      <w:pPr>
        <w:spacing w:after="120"/>
      </w:pPr>
      <w:r>
        <w:rPr>
          <w:rFonts w:ascii="Arial" w:cs="Arial" w:eastAsia="Arial" w:hAnsi="Arial"/>
          <w:sz w:val="20"/>
          <w:szCs w:val="20"/>
        </w:rPr>
        <w:t xml:space="preserve">Las visualizaciones son interactivas: pase el cursor sobre los elementos para ver detalles, haga clic para filtrar, o use los controles de Plotly (zoom, pan, descarga como PNG) que aparecen en la esquina superior derecha de cada gráfico.</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9.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/pipelines</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Interfaz de lanzamiento de pipelines de análisis bioinformático (en desarrollo).</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Pipelines con el selector de tipo de pipeline, los parámetros de configuración (file input, checkboxes de opciones), el área de output y el selector de formato de salida]</w:t>
      </w:r>
    </w:p>
    <w:p>
      <w:pPr>
        <w:spacing w:after="200"/>
        <w:jc w:val="center"/>
      </w:pPr>
      <w:r>
        <w:rPr>
          <w:rFonts w:ascii="Arial" w:cs="Arial" w:eastAsia="Arial" w:hAnsi="Arial"/>
          <w:i/>
          <w:iCs/>
          <w:color w:val="595959"/>
          <w:sz w:val="18"/>
          <w:szCs w:val="18"/>
        </w:rPr>
        <w:t xml:space="preserve">Figura 19. Pantalla de Pipelines de análisis (funcionalidad en desarrollo)</w:t>
      </w:r>
    </w:p>
    <w:p>
      <w:pPr>
        <w:spacing w:after="120"/>
      </w:pPr>
      <w:r>
        <w:rPr>
          <w:rFonts w:ascii="Arial" w:cs="Arial" w:eastAsia="Arial" w:hAnsi="Arial"/>
          <w:sz w:val="20"/>
          <w:szCs w:val="20"/>
        </w:rPr>
        <w:t xml:space="preserve">La pantalla de Pipelines permite lanzar análisis bioinformáticos sobre los datos de la base de datos. Actualmente están disponibles los siguientes pipelines:</w:t>
      </w:r>
    </w:p>
    <w:p>
      <w:pPr>
        <w:pStyle w:val="ListParagraph"/>
        <w:numPr>
          <w:ilvl w:val="0"/>
          <w:numId w:val="2"/>
        </w:numPr>
        <w:spacing w:after="80"/>
      </w:pPr>
      <w:r>
        <w:rPr>
          <w:rFonts w:ascii="Arial" w:cs="Arial" w:eastAsia="Arial" w:hAnsi="Arial"/>
          <w:sz w:val="20"/>
          <w:szCs w:val="20"/>
        </w:rPr>
        <w:t xml:space="preserve">Variant Calling</w:t>
      </w:r>
    </w:p>
    <w:p>
      <w:pPr>
        <w:pStyle w:val="ListParagraph"/>
        <w:numPr>
          <w:ilvl w:val="0"/>
          <w:numId w:val="2"/>
        </w:numPr>
        <w:spacing w:after="80"/>
      </w:pPr>
      <w:r>
        <w:rPr>
          <w:rFonts w:ascii="Arial" w:cs="Arial" w:eastAsia="Arial" w:hAnsi="Arial"/>
          <w:sz w:val="20"/>
          <w:szCs w:val="20"/>
        </w:rPr>
        <w:t xml:space="preserve">In vitro</w:t>
      </w:r>
    </w:p>
    <w:p>
      <w:pPr>
        <w:pStyle w:val="ListParagraph"/>
        <w:numPr>
          <w:ilvl w:val="0"/>
          <w:numId w:val="2"/>
        </w:numPr>
        <w:spacing w:after="80"/>
      </w:pPr>
      <w:r>
        <w:rPr>
          <w:rFonts w:ascii="Arial" w:cs="Arial" w:eastAsia="Arial" w:hAnsi="Arial"/>
          <w:sz w:val="20"/>
          <w:szCs w:val="20"/>
        </w:rPr>
        <w:t xml:space="preserve">Genealogías</w:t>
      </w:r>
    </w:p>
    <w:p>
      <w:pPr>
        <w:pStyle w:val="ListParagraph"/>
        <w:numPr>
          <w:ilvl w:val="0"/>
          <w:numId w:val="2"/>
        </w:numPr>
        <w:spacing w:after="80"/>
      </w:pPr>
      <w:r>
        <w:rPr>
          <w:rFonts w:ascii="Arial" w:cs="Arial" w:eastAsia="Arial" w:hAnsi="Arial"/>
          <w:sz w:val="20"/>
          <w:szCs w:val="20"/>
        </w:rPr>
        <w:t xml:space="preserve">Mutantes</w:t>
      </w:r>
    </w:p>
    <w:p>
      <w:pPr>
        <w:spacing w:after="120"/>
      </w:pPr>
      <w:r>
        <w:rPr>
          <w:rFonts w:ascii="Arial" w:cs="Arial" w:eastAsia="Arial" w:hAnsi="Arial"/>
          <w:sz w:val="20"/>
          <w:szCs w:val="20"/>
        </w:rPr>
        <w:t xml:space="preserve"/>
      </w:r>
    </w:p>
    <w:p>
      <w:pPr>
        <w:shd w:fill="FFFBEB" w:val="clear"/>
        <w:spacing w:after="120"/>
        <w:ind w:left="360"/>
      </w:pPr>
      <w:r>
        <w:rPr>
          <w:rFonts w:ascii="Arial" w:cs="Arial" w:eastAsia="Arial" w:hAnsi="Arial"/>
          <w:i/>
          <w:iCs/>
          <w:color w:val="B45309"/>
          <w:sz w:val="19"/>
          <w:szCs w:val="19"/>
        </w:rPr>
        <w:t xml:space="preserve">⚠ Atención: Esta funcionalidad está actualmente en fase de desarrollo. Consulte con el administrador del sistema para conocer el estado de disponibilidad de cada pipeline.</w:t>
      </w:r>
    </w:p>
    <w:p>
      <w:pPr>
        <w:spacing w:after="120"/>
      </w:pPr>
      <w:r>
        <w:rPr>
          <w:rFonts w:ascii="Arial" w:cs="Arial" w:eastAsia="Arial" w:hAnsi="Arial"/>
          <w:sz w:val="20"/>
          <w:szCs w:val="20"/>
        </w:rPr>
        <w:t xml:space="preserve">Cómo usar la pantalla de Pipelines (cuando esté disponible):</w:t>
      </w:r>
    </w:p>
    <w:p>
      <w:pPr>
        <w:pStyle w:val="ListParagraph"/>
        <w:numPr>
          <w:ilvl w:val="0"/>
          <w:numId w:val="3"/>
        </w:numPr>
        <w:spacing w:after="100"/>
      </w:pPr>
      <w:r>
        <w:rPr>
          <w:rFonts w:ascii="Arial" w:cs="Arial" w:eastAsia="Arial" w:hAnsi="Arial"/>
          <w:sz w:val="20"/>
          <w:szCs w:val="20"/>
        </w:rPr>
        <w:t xml:space="preserve">Seleccione el tipo de pipeline en el selector desplegable.</w:t>
      </w:r>
    </w:p>
    <w:p>
      <w:pPr>
        <w:pStyle w:val="ListParagraph"/>
        <w:numPr>
          <w:ilvl w:val="0"/>
          <w:numId w:val="3"/>
        </w:numPr>
        <w:spacing w:after="100"/>
      </w:pPr>
      <w:r>
        <w:rPr>
          <w:rFonts w:ascii="Arial" w:cs="Arial" w:eastAsia="Arial" w:hAnsi="Arial"/>
          <w:sz w:val="20"/>
          <w:szCs w:val="20"/>
        </w:rPr>
        <w:t xml:space="preserve">Seleccione el fichero de entrada con el input del análisis.</w:t>
      </w:r>
    </w:p>
    <w:p>
      <w:pPr>
        <w:pStyle w:val="ListParagraph"/>
        <w:numPr>
          <w:ilvl w:val="0"/>
          <w:numId w:val="3"/>
        </w:numPr>
        <w:spacing w:after="100"/>
      </w:pPr>
      <w:r>
        <w:rPr>
          <w:rFonts w:ascii="Arial" w:cs="Arial" w:eastAsia="Arial" w:hAnsi="Arial"/>
          <w:sz w:val="20"/>
          <w:szCs w:val="20"/>
        </w:rPr>
        <w:t xml:space="preserve">Configure las opciones (Trimming, Anotar variantes, Tabular resultados).</w:t>
      </w:r>
    </w:p>
    <w:p>
      <w:pPr>
        <w:pStyle w:val="ListParagraph"/>
        <w:numPr>
          <w:ilvl w:val="0"/>
          <w:numId w:val="3"/>
        </w:numPr>
        <w:spacing w:after="100"/>
      </w:pPr>
      <w:r>
        <w:rPr>
          <w:rFonts w:ascii="Arial" w:cs="Arial" w:eastAsia="Arial" w:hAnsi="Arial"/>
          <w:sz w:val="20"/>
          <w:szCs w:val="20"/>
        </w:rPr>
        <w:t xml:space="preserve">Pulse "Lanzar análisis". El output aparecerá en el área de texto.</w:t>
      </w:r>
    </w:p>
    <w:p>
      <w:pPr>
        <w:pStyle w:val="ListParagraph"/>
        <w:numPr>
          <w:ilvl w:val="0"/>
          <w:numId w:val="3"/>
        </w:numPr>
        <w:spacing w:after="100"/>
      </w:pPr>
      <w:r>
        <w:rPr>
          <w:rFonts w:ascii="Arial" w:cs="Arial" w:eastAsia="Arial" w:hAnsi="Arial"/>
          <w:sz w:val="20"/>
          <w:szCs w:val="20"/>
        </w:rPr>
        <w:t xml:space="preserve">Seleccione el formato de salida deseado y pulse "Obtener archivo de output".</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10. Documentación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/documentacion</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Acceso a protocolos y documentos técnicos del grupo ARPBIG.</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Documentación con los iconos de documentos y sus títulos: Protocolo Variant calling, Protocolo Filogenias, Protocolo In Vitro, Protocolo Mutantes, Protocolo Barcode 16S, Protocolo Caracterización aislados]</w:t>
      </w:r>
    </w:p>
    <w:p>
      <w:pPr>
        <w:spacing w:after="200"/>
        <w:jc w:val="center"/>
      </w:pPr>
      <w:r>
        <w:rPr>
          <w:rFonts w:ascii="Arial" w:cs="Arial" w:eastAsia="Arial" w:hAnsi="Arial"/>
          <w:i/>
          <w:iCs/>
          <w:color w:val="595959"/>
          <w:sz w:val="18"/>
          <w:szCs w:val="18"/>
        </w:rPr>
        <w:t xml:space="preserve">Figura 20. Pantalla de Documentación con los protocolos del grupo</w:t>
      </w:r>
    </w:p>
    <w:p>
      <w:pPr>
        <w:spacing w:after="120"/>
      </w:pPr>
      <w:r>
        <w:rPr>
          <w:rFonts w:ascii="Arial" w:cs="Arial" w:eastAsia="Arial" w:hAnsi="Arial"/>
          <w:sz w:val="20"/>
          <w:szCs w:val="20"/>
        </w:rPr>
        <w:t xml:space="preserve">La pantalla de Documentación muestra los protocolos internos del grupo ARPBIG. Para acceder a un protocolo:</w:t>
      </w:r>
    </w:p>
    <w:p>
      <w:pPr>
        <w:pStyle w:val="ListParagraph"/>
        <w:numPr>
          <w:ilvl w:val="0"/>
          <w:numId w:val="3"/>
        </w:numPr>
        <w:spacing w:after="100"/>
      </w:pPr>
      <w:r>
        <w:rPr>
          <w:rFonts w:ascii="Arial" w:cs="Arial" w:eastAsia="Arial" w:hAnsi="Arial"/>
          <w:sz w:val="20"/>
          <w:szCs w:val="20"/>
        </w:rPr>
        <w:t xml:space="preserve">Haga clic sobre el icono o el título del protocolo que desea consultar.</w:t>
      </w:r>
    </w:p>
    <w:p>
      <w:pPr>
        <w:pStyle w:val="ListParagraph"/>
        <w:numPr>
          <w:ilvl w:val="0"/>
          <w:numId w:val="3"/>
        </w:numPr>
        <w:spacing w:after="100"/>
      </w:pPr>
      <w:r>
        <w:rPr>
          <w:rFonts w:ascii="Arial" w:cs="Arial" w:eastAsia="Arial" w:hAnsi="Arial"/>
          <w:sz w:val="20"/>
          <w:szCs w:val="20"/>
        </w:rPr>
        <w:t xml:space="preserve">Se abrirá una ventana modal con el documento PDF incrustado.</w:t>
      </w:r>
    </w:p>
    <w:p>
      <w:pPr>
        <w:pStyle w:val="ListParagraph"/>
        <w:numPr>
          <w:ilvl w:val="0"/>
          <w:numId w:val="3"/>
        </w:numPr>
        <w:spacing w:after="100"/>
      </w:pPr>
      <w:r>
        <w:rPr>
          <w:rFonts w:ascii="Arial" w:cs="Arial" w:eastAsia="Arial" w:hAnsi="Arial"/>
          <w:sz w:val="20"/>
          <w:szCs w:val="20"/>
        </w:rPr>
        <w:t xml:space="preserve">Para cerrar la ventana, haga clic fuera del área del documento o en el botón ×.</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11. Carga de Datos (Data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/cargadatos</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Asistente paso a paso para la carga masiva de datos desde ficheros Excel (.xlsx, .xls) o CSV.</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inicial de carga de datos mostrando: el selector de fichero, el selector de extracción de loci, el botón "Read file", y el enlace para descargar el PDF con información de los campos de la BD]</w:t>
      </w:r>
    </w:p>
    <w:p>
      <w:pPr>
        <w:spacing w:after="200"/>
        <w:jc w:val="center"/>
      </w:pPr>
      <w:r>
        <w:rPr>
          <w:rFonts w:ascii="Arial" w:cs="Arial" w:eastAsia="Arial" w:hAnsi="Arial"/>
          <w:i/>
          <w:iCs/>
          <w:color w:val="595959"/>
          <w:sz w:val="18"/>
          <w:szCs w:val="18"/>
        </w:rPr>
        <w:t xml:space="preserve">Figura 21. Pantalla inicial del asistente de carga de datos</w:t>
      </w:r>
    </w:p>
    <w:p>
      <w:pPr>
        <w:pStyle w:val="Heading2"/>
        <w:spacing w:after="120" w:before="280"/>
      </w:pPr>
      <w:r>
        <w:rPr>
          <w:rFonts w:ascii="Arial" w:cs="Arial" w:eastAsia="Arial" w:hAnsi="Arial"/>
          <w:b/>
          <w:bCs/>
          <w:color w:val="00334c"/>
          <w:sz w:val="26"/>
          <w:szCs w:val="26"/>
        </w:rPr>
        <w:t xml:space="preserve">11.1 Paso 1: Selección del fichero y configuración inicial</w:t>
      </w:r>
    </w:p>
    <w:p>
      <w:pPr>
        <w:pStyle w:val="ListParagraph"/>
        <w:numPr>
          <w:ilvl w:val="0"/>
          <w:numId w:val="3"/>
        </w:numPr>
        <w:spacing w:after="100"/>
      </w:pPr>
      <w:r>
        <w:rPr>
          <w:rFonts w:ascii="Arial" w:cs="Arial" w:eastAsia="Arial" w:hAnsi="Arial"/>
          <w:sz w:val="20"/>
          <w:szCs w:val="20"/>
        </w:rPr>
        <w:t xml:space="preserve">Haga clic en el selector de fichero y seleccione su fichero Excel (.xlsx, .xls) o CSV.</w:t>
      </w:r>
    </w:p>
    <w:p>
      <w:pPr>
        <w:pStyle w:val="ListParagraph"/>
        <w:numPr>
          <w:ilvl w:val="0"/>
          <w:numId w:val="3"/>
        </w:numPr>
        <w:spacing w:after="100"/>
      </w:pPr>
      <w:r>
        <w:rPr>
          <w:rFonts w:ascii="Arial" w:cs="Arial" w:eastAsia="Arial" w:hAnsi="Arial"/>
          <w:sz w:val="20"/>
          <w:szCs w:val="20"/>
        </w:rPr>
        <w:t xml:space="preserve">En el selector "Obtain resistome loci from input file?", elija cómo tratar los datos de loci génicos:</w:t>
      </w:r>
    </w:p>
    <w:p>
      <w:pPr>
        <w:pStyle w:val="ListParagraph"/>
        <w:numPr>
          <w:ilvl w:val="1"/>
          <w:numId w:val="2"/>
        </w:numPr>
        <w:spacing w:after="80"/>
      </w:pPr>
      <w:r>
        <w:rPr>
          <w:rFonts w:ascii="Arial" w:cs="Arial" w:eastAsia="Arial" w:hAnsi="Arial"/>
          <w:sz w:val="20"/>
          <w:szCs w:val="20"/>
        </w:rPr>
        <w:t xml:space="preserve">"Extract only MUTATIONS from loci": extrae solo las mutaciones identificadas en los loci.</w:t>
      </w:r>
    </w:p>
    <w:p>
      <w:pPr>
        <w:pStyle w:val="ListParagraph"/>
        <w:numPr>
          <w:ilvl w:val="1"/>
          <w:numId w:val="2"/>
        </w:numPr>
        <w:spacing w:after="80"/>
      </w:pPr>
      <w:r>
        <w:rPr>
          <w:rFonts w:ascii="Arial" w:cs="Arial" w:eastAsia="Arial" w:hAnsi="Arial"/>
          <w:sz w:val="20"/>
          <w:szCs w:val="20"/>
        </w:rPr>
        <w:t xml:space="preserve">"Extract both MUTATIONS + POLYMORPHISMS from loci": extrae mutaciones y polimorfismos.</w:t>
      </w:r>
    </w:p>
    <w:p>
      <w:pPr>
        <w:pStyle w:val="ListParagraph"/>
        <w:numPr>
          <w:ilvl w:val="1"/>
          <w:numId w:val="2"/>
        </w:numPr>
        <w:spacing w:after="80"/>
      </w:pPr>
      <w:r>
        <w:rPr>
          <w:rFonts w:ascii="Arial" w:cs="Arial" w:eastAsia="Arial" w:hAnsi="Arial"/>
          <w:sz w:val="20"/>
          <w:szCs w:val="20"/>
        </w:rPr>
        <w:t xml:space="preserve">"Do not extract loci information": no procesa los loci.</w:t>
      </w:r>
    </w:p>
    <w:p>
      <w:pPr>
        <w:pStyle w:val="ListParagraph"/>
        <w:numPr>
          <w:ilvl w:val="0"/>
          <w:numId w:val="3"/>
        </w:numPr>
        <w:spacing w:after="100"/>
      </w:pPr>
      <w:r>
        <w:rPr>
          <w:rFonts w:ascii="Arial" w:cs="Arial" w:eastAsia="Arial" w:hAnsi="Arial"/>
          <w:sz w:val="20"/>
          <w:szCs w:val="20"/>
        </w:rPr>
        <w:t xml:space="preserve">Pulse el botón "Read file". La aplicación leerá el fichero y mostrará una previsualización de los datos.</w:t>
      </w:r>
    </w:p>
    <w:p>
      <w:pPr>
        <w:shd w:fill="E8F5E9" w:val="clear"/>
        <w:spacing w:after="120"/>
        <w:ind w:left="360"/>
      </w:pPr>
      <w:r>
        <w:rPr>
          <w:rFonts w:ascii="Arial" w:cs="Arial" w:eastAsia="Arial" w:hAnsi="Arial"/>
          <w:i/>
          <w:iCs/>
          <w:color w:val="2D6A4F"/>
          <w:sz w:val="19"/>
          <w:szCs w:val="19"/>
        </w:rPr>
        <w:t xml:space="preserve">💡 Consejo: Si no está seguro del formato de columnas esperado por la base de datos, descargue primero el PDF de referencia pulsando "Download PDF".</w:t>
      </w:r>
    </w:p>
    <w:p>
      <w:pPr>
        <w:shd w:fill="FFFBEB" w:val="clear"/>
        <w:spacing w:after="120"/>
        <w:ind w:left="360"/>
      </w:pPr>
      <w:r>
        <w:rPr>
          <w:rFonts w:ascii="Arial" w:cs="Arial" w:eastAsia="Arial" w:hAnsi="Arial"/>
          <w:i/>
          <w:iCs/>
          <w:color w:val="B45309"/>
          <w:sz w:val="19"/>
          <w:szCs w:val="19"/>
        </w:rPr>
        <w:t xml:space="preserve">⚠ Atención: El fichero debe tener encabezados de columna en la primera fila. Los datos comienzan a partir de la segunda fila.</w:t>
      </w:r>
    </w:p>
    <w:p>
      <w:pPr>
        <w:pStyle w:val="Heading2"/>
        <w:spacing w:after="120" w:before="280"/>
      </w:pPr>
      <w:r>
        <w:rPr>
          <w:rFonts w:ascii="Arial" w:cs="Arial" w:eastAsia="Arial" w:hAnsi="Arial"/>
          <w:b/>
          <w:bCs/>
          <w:color w:val="00334c"/>
          <w:sz w:val="26"/>
          <w:szCs w:val="26"/>
        </w:rPr>
        <w:t xml:space="preserve">11.2 Paso 2: Previsualización y mapeo de columnas</w:t>
      </w:r>
    </w:p>
    <w:p>
      <w:pPr>
        <w:spacing w:after="120"/>
      </w:pPr>
      <w:r>
        <w:rPr>
          <w:rFonts w:ascii="Arial" w:cs="Arial" w:eastAsia="Arial" w:hAnsi="Arial"/>
          <w:sz w:val="20"/>
          <w:szCs w:val="20"/>
        </w:rPr>
        <w:t xml:space="preserve">Tras leer el fichero, la aplicación muestra una previsualización con los datos leídos y un panel para mapear las columnas del fichero a los campos de la base de datos.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mapeo de columnas: tabla de previsualización de datos y, debajo, el formulario con un selector por cada columna del fichero para asignarla a un campo de la BD]</w:t>
      </w:r>
    </w:p>
    <w:p>
      <w:pPr>
        <w:spacing w:after="200"/>
        <w:jc w:val="center"/>
      </w:pPr>
      <w:r>
        <w:rPr>
          <w:rFonts w:ascii="Arial" w:cs="Arial" w:eastAsia="Arial" w:hAnsi="Arial"/>
          <w:i/>
          <w:iCs/>
          <w:color w:val="595959"/>
          <w:sz w:val="18"/>
          <w:szCs w:val="18"/>
        </w:rPr>
        <w:t xml:space="preserve">Figura 22. Mapeo de columnas del fichero de entrada a campos de la base de datos</w:t>
      </w:r>
    </w:p>
    <w:p>
      <w:pPr>
        <w:pStyle w:val="ListParagraph"/>
        <w:numPr>
          <w:ilvl w:val="0"/>
          <w:numId w:val="3"/>
        </w:numPr>
        <w:spacing w:after="100"/>
      </w:pPr>
      <w:r>
        <w:rPr>
          <w:rFonts w:ascii="Arial" w:cs="Arial" w:eastAsia="Arial" w:hAnsi="Arial"/>
          <w:sz w:val="20"/>
          <w:szCs w:val="20"/>
        </w:rPr>
        <w:t xml:space="preserve">Revise la previsualización de datos para verificar que el fichero se ha leído correctamente.</w:t>
      </w:r>
    </w:p>
    <w:p>
      <w:pPr>
        <w:pStyle w:val="ListParagraph"/>
        <w:numPr>
          <w:ilvl w:val="0"/>
          <w:numId w:val="3"/>
        </w:numPr>
        <w:spacing w:after="100"/>
      </w:pPr>
      <w:r>
        <w:rPr>
          <w:rFonts w:ascii="Arial" w:cs="Arial" w:eastAsia="Arial" w:hAnsi="Arial"/>
          <w:sz w:val="20"/>
          <w:szCs w:val="20"/>
        </w:rPr>
        <w:t xml:space="preserve">Para cada columna del fichero de entrada (columna izquierda), seleccione el campo de la base de datos correspondiente en el selector de la derecha.</w:t>
      </w:r>
    </w:p>
    <w:p>
      <w:pPr>
        <w:pStyle w:val="ListParagraph"/>
        <w:numPr>
          <w:ilvl w:val="0"/>
          <w:numId w:val="3"/>
        </w:numPr>
        <w:spacing w:after="100"/>
      </w:pPr>
      <w:r>
        <w:rPr>
          <w:rFonts w:ascii="Arial" w:cs="Arial" w:eastAsia="Arial" w:hAnsi="Arial"/>
          <w:sz w:val="20"/>
          <w:szCs w:val="20"/>
        </w:rPr>
        <w:t xml:space="preserve">Si una columna no debe escribirse en la BD, seleccione "Do NOT write this in DB".</w:t>
      </w:r>
    </w:p>
    <w:p>
      <w:pPr>
        <w:pStyle w:val="ListParagraph"/>
        <w:numPr>
          <w:ilvl w:val="0"/>
          <w:numId w:val="3"/>
        </w:numPr>
        <w:spacing w:after="100"/>
      </w:pPr>
      <w:r>
        <w:rPr>
          <w:rFonts w:ascii="Arial" w:cs="Arial" w:eastAsia="Arial" w:hAnsi="Arial"/>
          <w:sz w:val="20"/>
          <w:szCs w:val="20"/>
        </w:rPr>
        <w:t xml:space="preserve">Pulse "Guardar variables" para continuar.</w:t>
      </w:r>
    </w:p>
    <w:p>
      <w:pPr>
        <w:shd w:fill="FFFBEB" w:val="clear"/>
        <w:spacing w:after="120"/>
        <w:ind w:left="360"/>
      </w:pPr>
      <w:r>
        <w:rPr>
          <w:rFonts w:ascii="Arial" w:cs="Arial" w:eastAsia="Arial" w:hAnsi="Arial"/>
          <w:i/>
          <w:iCs/>
          <w:color w:val="B45309"/>
          <w:sz w:val="19"/>
          <w:szCs w:val="19"/>
        </w:rPr>
        <w:t xml:space="preserve">⚠ Atención: Los campos isolate_name y project_name son obligatorios. La operación de escritura no se podrá ejecutar si no están mapeados correctamente.</w:t>
      </w:r>
    </w:p>
    <w:p>
      <w:pPr>
        <w:pStyle w:val="Heading2"/>
        <w:spacing w:after="120" w:before="280"/>
      </w:pPr>
      <w:r>
        <w:rPr>
          <w:rFonts w:ascii="Arial" w:cs="Arial" w:eastAsia="Arial" w:hAnsi="Arial"/>
          <w:b/>
          <w:bCs/>
          <w:color w:val="00334c"/>
          <w:sz w:val="26"/>
          <w:szCs w:val="26"/>
        </w:rPr>
        <w:t xml:space="preserve">11.3 Paso 3: Resumen y asignación de valores de campos normalizados</w:t>
      </w:r>
    </w:p>
    <w:p>
      <w:pPr>
        <w:spacing w:after="120"/>
      </w:pPr>
      <w:r>
        <w:rPr>
          <w:rFonts w:ascii="Arial" w:cs="Arial" w:eastAsia="Arial" w:hAnsi="Arial"/>
          <w:sz w:val="20"/>
          <w:szCs w:val="20"/>
        </w:rPr>
        <w:t xml:space="preserve">La pantalla de resumen muestra el mapeo final de columnas y, si hay campos con valores normalizados (FK), una sección adicional para asignar los valores del fichero a los registros de la base de datos.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resumen de carga: tabla de mapeo final de columnas y, debajo, la tabla de asignación de valores normalizados para campos como hospital o sample_type, con un selector Select2 por cada valor del fichero]</w:t>
      </w:r>
    </w:p>
    <w:p>
      <w:pPr>
        <w:spacing w:after="200"/>
        <w:jc w:val="center"/>
      </w:pPr>
      <w:r>
        <w:rPr>
          <w:rFonts w:ascii="Arial" w:cs="Arial" w:eastAsia="Arial" w:hAnsi="Arial"/>
          <w:i/>
          <w:iCs/>
          <w:color w:val="595959"/>
          <w:sz w:val="18"/>
          <w:szCs w:val="18"/>
        </w:rPr>
        <w:t xml:space="preserve">Figura 23. Resumen de carga con asignación de valores normalizados a registros de la BD</w:t>
      </w:r>
    </w:p>
    <w:p>
      <w:pPr>
        <w:pStyle w:val="ListParagraph"/>
        <w:numPr>
          <w:ilvl w:val="0"/>
          <w:numId w:val="3"/>
        </w:numPr>
        <w:spacing w:after="100"/>
      </w:pPr>
      <w:r>
        <w:rPr>
          <w:rFonts w:ascii="Arial" w:cs="Arial" w:eastAsia="Arial" w:hAnsi="Arial"/>
          <w:sz w:val="20"/>
          <w:szCs w:val="20"/>
        </w:rPr>
        <w:t xml:space="preserve">Revise la tabla de mapeo final de columnas.</w:t>
      </w:r>
    </w:p>
    <w:p>
      <w:pPr>
        <w:pStyle w:val="ListParagraph"/>
        <w:numPr>
          <w:ilvl w:val="0"/>
          <w:numId w:val="3"/>
        </w:numPr>
        <w:spacing w:after="100"/>
      </w:pPr>
      <w:r>
        <w:rPr>
          <w:rFonts w:ascii="Arial" w:cs="Arial" w:eastAsia="Arial" w:hAnsi="Arial"/>
          <w:sz w:val="20"/>
          <w:szCs w:val="20"/>
        </w:rPr>
        <w:t xml:space="preserve">Para cada campo normalizado (hospital, tipo de muestra, servicio, etc.), asigne el valor del fichero al registro correspondiente en la BD usando el selector de búsqueda.</w:t>
      </w:r>
    </w:p>
    <w:p>
      <w:pPr>
        <w:pStyle w:val="ListParagraph"/>
        <w:numPr>
          <w:ilvl w:val="0"/>
          <w:numId w:val="3"/>
        </w:numPr>
        <w:spacing w:after="100"/>
      </w:pPr>
      <w:r>
        <w:rPr>
          <w:rFonts w:ascii="Arial" w:cs="Arial" w:eastAsia="Arial" w:hAnsi="Arial"/>
          <w:sz w:val="20"/>
          <w:szCs w:val="20"/>
        </w:rPr>
        <w:t xml:space="preserve">Pulse "Save value asignation" para guardar las asignaciones.</w:t>
      </w:r>
    </w:p>
    <w:p>
      <w:pPr>
        <w:pStyle w:val="ListParagraph"/>
        <w:numPr>
          <w:ilvl w:val="0"/>
          <w:numId w:val="3"/>
        </w:numPr>
        <w:spacing w:after="100"/>
      </w:pPr>
      <w:r>
        <w:rPr>
          <w:rFonts w:ascii="Arial" w:cs="Arial" w:eastAsia="Arial" w:hAnsi="Arial"/>
          <w:sz w:val="20"/>
          <w:szCs w:val="20"/>
        </w:rPr>
        <w:t xml:space="preserve">Pulse el botón rojo "WRITE TO DB" para proceder a la escritura en la base de datos.</w:t>
      </w:r>
    </w:p>
    <w:p>
      <w:pPr>
        <w:pStyle w:val="Heading2"/>
        <w:spacing w:after="120" w:before="280"/>
      </w:pPr>
      <w:r>
        <w:rPr>
          <w:rFonts w:ascii="Arial" w:cs="Arial" w:eastAsia="Arial" w:hAnsi="Arial"/>
          <w:b/>
          <w:bCs/>
          <w:color w:val="00334c"/>
          <w:sz w:val="26"/>
          <w:szCs w:val="26"/>
        </w:rPr>
        <w:t xml:space="preserve">11.4 Paso 4: Confirmación y advertencias antes de escribir</w:t>
      </w:r>
    </w:p>
    <w:p>
      <w:pPr>
        <w:spacing w:after="120"/>
      </w:pPr>
      <w:r>
        <w:rPr>
          <w:rFonts w:ascii="Arial" w:cs="Arial" w:eastAsia="Arial" w:hAnsi="Arial"/>
          <w:sz w:val="20"/>
          <w:szCs w:val="20"/>
        </w:rPr>
        <w:t xml:space="preserve">Al pulsar "WRITE TO DB", se abre una ventana de confirmación que muestra avisos importantes: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Modal de confirmación antes de escribir en BD, mostrando las advertencias de aislados duplicados y columnas con múltiple asignación, y los botones: Write data to DB (rojo), Review variables assignation y Back]</w:t>
      </w:r>
    </w:p>
    <w:p>
      <w:pPr>
        <w:spacing w:after="200"/>
        <w:jc w:val="center"/>
      </w:pPr>
      <w:r>
        <w:rPr>
          <w:rFonts w:ascii="Arial" w:cs="Arial" w:eastAsia="Arial" w:hAnsi="Arial"/>
          <w:i/>
          <w:iCs/>
          <w:color w:val="595959"/>
          <w:sz w:val="18"/>
          <w:szCs w:val="18"/>
        </w:rPr>
        <w:t xml:space="preserve">Figura 24. Modal de confirmación con advertencias antes de la escritura en la base de datos</w:t>
      </w:r>
    </w:p>
    <w:p>
      <w:pPr>
        <w:pStyle w:val="ListParagraph"/>
        <w:numPr>
          <w:ilvl w:val="0"/>
          <w:numId w:val="2"/>
        </w:numPr>
        <w:spacing w:after="80"/>
      </w:pPr>
      <w:r>
        <w:rPr>
          <w:rFonts w:ascii="Arial" w:cs="Arial" w:eastAsia="Arial" w:hAnsi="Arial"/>
          <w:sz w:val="20"/>
          <w:szCs w:val="20"/>
        </w:rPr>
        <w:t xml:space="preserve">Aislados ya existentes en la BD (se sobrescribirán los valores si han cambiado).</w:t>
      </w:r>
    </w:p>
    <w:p>
      <w:pPr>
        <w:pStyle w:val="ListParagraph"/>
        <w:numPr>
          <w:ilvl w:val="0"/>
          <w:numId w:val="2"/>
        </w:numPr>
        <w:spacing w:after="80"/>
      </w:pPr>
      <w:r>
        <w:rPr>
          <w:rFonts w:ascii="Arial" w:cs="Arial" w:eastAsia="Arial" w:hAnsi="Arial"/>
          <w:sz w:val="20"/>
          <w:szCs w:val="20"/>
        </w:rPr>
        <w:t xml:space="preserve">Columnas del fichero asignadas a más de un campo de la BD (posible error de mapeo).</w:t>
      </w:r>
    </w:p>
    <w:p>
      <w:pPr>
        <w:spacing w:after="120"/>
      </w:pPr>
      <w:r>
        <w:rPr>
          <w:rFonts w:ascii="Arial" w:cs="Arial" w:eastAsia="Arial" w:hAnsi="Arial"/>
          <w:sz w:val="20"/>
          <w:szCs w:val="20"/>
        </w:rPr>
        <w:t xml:space="preserve">Si todo es correcto, pulse "Write data to DB" (botón rojo) para confirmar. Para revisar el mapeo, pulse "Review variables assignation". Para cancelar, pulse "Back".</w:t>
      </w:r>
    </w:p>
    <w:p>
      <w:pPr>
        <w:shd w:fill="FFFBEB" w:val="clear"/>
        <w:spacing w:after="120"/>
        <w:ind w:left="360"/>
      </w:pPr>
      <w:r>
        <w:rPr>
          <w:rFonts w:ascii="Arial" w:cs="Arial" w:eastAsia="Arial" w:hAnsi="Arial"/>
          <w:i/>
          <w:iCs/>
          <w:color w:val="B45309"/>
          <w:sz w:val="19"/>
          <w:szCs w:val="19"/>
        </w:rPr>
        <w:t xml:space="preserve">⚠ Atención: Esta operación modifica directamente la base de datos. Una vez confirmada, no es fácilmente reversible. Asegúrese de que el mapeo es correcto antes de confirmar.</w:t>
      </w:r>
    </w:p>
    <w:p>
      <w:pPr>
        <w:pStyle w:val="Heading2"/>
        <w:spacing w:after="120" w:before="280"/>
      </w:pPr>
      <w:r>
        <w:rPr>
          <w:rFonts w:ascii="Arial" w:cs="Arial" w:eastAsia="Arial" w:hAnsi="Arial"/>
          <w:b/>
          <w:bCs/>
          <w:color w:val="00334c"/>
          <w:sz w:val="26"/>
          <w:szCs w:val="26"/>
        </w:rPr>
        <w:t xml:space="preserve">11.5 Paso 5: Confirmación de registros escritos</w:t>
      </w:r>
    </w:p>
    <w:p>
      <w:pPr>
        <w:spacing w:after="120"/>
      </w:pPr>
      <w:r>
        <w:rPr>
          <w:rFonts w:ascii="Arial" w:cs="Arial" w:eastAsia="Arial" w:hAnsi="Arial"/>
          <w:sz w:val="20"/>
          <w:szCs w:val="20"/>
        </w:rPr>
        <w:t xml:space="preserve">Tras la escritura, la pantalla muestra un resumen de los registros procesados:</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 confirmación de escritura mostrando dos tablas: "New records added" con los aislados nuevos y sus campos escritos, y "Modified records" con los aislados modificados y sus campos actualizados]</w:t>
      </w:r>
    </w:p>
    <w:p>
      <w:pPr>
        <w:spacing w:after="200"/>
        <w:jc w:val="center"/>
      </w:pPr>
      <w:r>
        <w:rPr>
          <w:rFonts w:ascii="Arial" w:cs="Arial" w:eastAsia="Arial" w:hAnsi="Arial"/>
          <w:i/>
          <w:iCs/>
          <w:color w:val="595959"/>
          <w:sz w:val="18"/>
          <w:szCs w:val="18"/>
        </w:rPr>
        <w:t xml:space="preserve">Figura 25. Resultado de la carga de datos: registros nuevos y modificados en la base de datos</w:t>
      </w:r>
    </w:p>
    <w:p>
      <w:pPr>
        <w:pStyle w:val="ListParagraph"/>
        <w:numPr>
          <w:ilvl w:val="0"/>
          <w:numId w:val="2"/>
        </w:numPr>
        <w:spacing w:after="80"/>
      </w:pPr>
      <w:r>
        <w:rPr>
          <w:rFonts w:ascii="Arial" w:cs="Arial" w:eastAsia="Arial" w:hAnsi="Arial"/>
          <w:sz w:val="20"/>
          <w:szCs w:val="20"/>
        </w:rPr>
        <w:t xml:space="preserve">New records added: aislados nuevos añadidos a la BD.</w:t>
      </w:r>
    </w:p>
    <w:p>
      <w:pPr>
        <w:pStyle w:val="ListParagraph"/>
        <w:numPr>
          <w:ilvl w:val="0"/>
          <w:numId w:val="2"/>
        </w:numPr>
        <w:spacing w:after="80"/>
      </w:pPr>
      <w:r>
        <w:rPr>
          <w:rFonts w:ascii="Arial" w:cs="Arial" w:eastAsia="Arial" w:hAnsi="Arial"/>
          <w:sz w:val="20"/>
          <w:szCs w:val="20"/>
        </w:rPr>
        <w:t xml:space="preserve">Modified records: aislados existentes que han sido actualizados.</w:t>
      </w:r>
    </w:p>
    <w:p>
      <w:pPr>
        <w:spacing w:after="120"/>
      </w:pPr>
      <w:r>
        <w:rPr>
          <w:rFonts w:ascii="Arial" w:cs="Arial" w:eastAsia="Arial" w:hAnsi="Arial"/>
          <w:sz w:val="20"/>
          <w:szCs w:val="20"/>
        </w:rPr>
        <w:t xml:space="preserve">Si no se han producido cambios, la pantalla indicará "All records already exist in the database. No changes were made."</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12. Banco de Muestras (Strain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/strain_bank</w:t>
            </w:r>
          </w:p>
        </w:tc>
      </w:tr>
      <w:tr>
        <w:tc>
          <w:tcPr>
            <w:tcW w:type="dxa" w:w="1800"/>
            <w:tcBorders>
              <w:top w:val="single" w:color="CCCCCC" w:sz="1"/>
              <w:left w:val="single" w:color="CCCCCC" w:sz="1"/>
              <w:bottom w:val="single" w:color="CCCCCC" w:sz="1"/>
              <w:right w:val="single" w:color="CCCCCC" w:sz="1"/>
            </w:tcBorders>
            <w:shd w:fill="00334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Gestión del banco de muestras físico del laboratorio: tabla de muestras, vista de rack y vista de caja.</w:t>
            </w:r>
          </w:p>
        </w:tc>
      </w:tr>
    </w:tbl>
    <w:p>
      <w:pPr>
        <w:spacing w:after="120"/>
      </w:pPr>
      <w:r>
        <w:rPr>
          <w:rFonts w:ascii="Arial" w:cs="Arial" w:eastAsia="Arial" w:hAnsi="Arial"/>
          <w:sz w:val="20"/>
          <w:szCs w:val="20"/>
        </w:rPr>
        <w:t xml:space="preserve"/>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Pantalla del banco de muestras mostrando: el formulario de filtros, la tabla de muestras con controles de edición/borrado, la vista de rack (cuadrícula de posiciones) y la vista de caja]</w:t>
      </w:r>
    </w:p>
    <w:p>
      <w:pPr>
        <w:spacing w:after="200"/>
        <w:jc w:val="center"/>
      </w:pPr>
      <w:r>
        <w:rPr>
          <w:rFonts w:ascii="Arial" w:cs="Arial" w:eastAsia="Arial" w:hAnsi="Arial"/>
          <w:i/>
          <w:iCs/>
          <w:color w:val="595959"/>
          <w:sz w:val="18"/>
          <w:szCs w:val="18"/>
        </w:rPr>
        <w:t xml:space="preserve">Figura 26. Pantalla del banco de muestras con la tabla, la vista de rack y la vista de caja</w:t>
      </w:r>
    </w:p>
    <w:p>
      <w:pPr>
        <w:pStyle w:val="Heading2"/>
        <w:spacing w:after="120" w:before="280"/>
      </w:pPr>
      <w:r>
        <w:rPr>
          <w:rFonts w:ascii="Arial" w:cs="Arial" w:eastAsia="Arial" w:hAnsi="Arial"/>
          <w:b/>
          <w:bCs/>
          <w:color w:val="00334c"/>
          <w:sz w:val="26"/>
          <w:szCs w:val="26"/>
        </w:rPr>
        <w:t xml:space="preserve">12.1 Tabla de muestras</w:t>
      </w:r>
    </w:p>
    <w:p>
      <w:pPr>
        <w:spacing w:after="120"/>
      </w:pPr>
      <w:r>
        <w:rPr>
          <w:rFonts w:ascii="Arial" w:cs="Arial" w:eastAsia="Arial" w:hAnsi="Arial"/>
          <w:sz w:val="20"/>
          <w:szCs w:val="20"/>
        </w:rPr>
        <w:t xml:space="preserve">La parte superior de la pantalla muestra una tabla con todas las muestras del banco. Se puede filtrar usando el formulario de la parte superior.</w:t>
      </w:r>
    </w:p>
    <w:p>
      <w:pPr>
        <w:pStyle w:val="ListParagraph"/>
        <w:numPr>
          <w:ilvl w:val="0"/>
          <w:numId w:val="2"/>
        </w:numPr>
        <w:spacing w:after="80"/>
      </w:pPr>
      <w:r>
        <w:rPr>
          <w:rFonts w:ascii="Arial" w:cs="Arial" w:eastAsia="Arial" w:hAnsi="Arial"/>
          <w:sz w:val="20"/>
          <w:szCs w:val="20"/>
        </w:rPr>
        <w:t xml:space="preserve">Para editar una muestra: haga clic en el botón de edición (lápiz) de la fila correspondiente.</w:t>
      </w:r>
    </w:p>
    <w:p>
      <w:pPr>
        <w:pStyle w:val="ListParagraph"/>
        <w:numPr>
          <w:ilvl w:val="0"/>
          <w:numId w:val="2"/>
        </w:numPr>
        <w:spacing w:after="80"/>
      </w:pPr>
      <w:r>
        <w:rPr>
          <w:rFonts w:ascii="Arial" w:cs="Arial" w:eastAsia="Arial" w:hAnsi="Arial"/>
          <w:sz w:val="20"/>
          <w:szCs w:val="20"/>
        </w:rPr>
        <w:t xml:space="preserve">Para eliminar una muestra: haga clic en el botón de borrado (papelera) y confirme en el diálogo.</w:t>
      </w:r>
    </w:p>
    <w:p>
      <w:pPr>
        <w:pStyle w:val="Heading2"/>
        <w:spacing w:after="120" w:before="280"/>
      </w:pPr>
      <w:r>
        <w:rPr>
          <w:rFonts w:ascii="Arial" w:cs="Arial" w:eastAsia="Arial" w:hAnsi="Arial"/>
          <w:b/>
          <w:bCs/>
          <w:color w:val="00334c"/>
          <w:sz w:val="26"/>
          <w:szCs w:val="26"/>
        </w:rPr>
        <w:t xml:space="preserve">12.2 Vista de rack</w:t>
      </w:r>
    </w:p>
    <w:p>
      <w:pPr>
        <w:spacing w:after="120"/>
      </w:pPr>
      <w:r>
        <w:rPr>
          <w:rFonts w:ascii="Arial" w:cs="Arial" w:eastAsia="Arial" w:hAnsi="Arial"/>
          <w:sz w:val="20"/>
          <w:szCs w:val="20"/>
        </w:rPr>
        <w:t xml:space="preserve">La visualización de rack muestra una cuadrícula que representa la disposición física de las muestras en un rack de congelador.</w:t>
      </w:r>
    </w:p>
    <w:p>
      <w:pPr>
        <w:pStyle w:val="ListParagraph"/>
        <w:numPr>
          <w:ilvl w:val="0"/>
          <w:numId w:val="3"/>
        </w:numPr>
        <w:spacing w:after="100"/>
      </w:pPr>
      <w:r>
        <w:rPr>
          <w:rFonts w:ascii="Arial" w:cs="Arial" w:eastAsia="Arial" w:hAnsi="Arial"/>
          <w:sz w:val="20"/>
          <w:szCs w:val="20"/>
        </w:rPr>
        <w:t xml:space="preserve">Seleccione el rack que desea visualizar en el selector "Selecciona Rack".</w:t>
      </w:r>
    </w:p>
    <w:p>
      <w:pPr>
        <w:pStyle w:val="ListParagraph"/>
        <w:numPr>
          <w:ilvl w:val="0"/>
          <w:numId w:val="3"/>
        </w:numPr>
        <w:spacing w:after="100"/>
      </w:pPr>
      <w:r>
        <w:rPr>
          <w:rFonts w:ascii="Arial" w:cs="Arial" w:eastAsia="Arial" w:hAnsi="Arial"/>
          <w:sz w:val="20"/>
          <w:szCs w:val="20"/>
        </w:rPr>
        <w:t xml:space="preserve">La cuadrícula mostrará las posiciones ocupadas (gris oscuro) y vacías (blanco).</w:t>
      </w:r>
    </w:p>
    <w:p>
      <w:pPr>
        <w:pStyle w:val="ListParagraph"/>
        <w:numPr>
          <w:ilvl w:val="0"/>
          <w:numId w:val="3"/>
        </w:numPr>
        <w:spacing w:after="100"/>
      </w:pPr>
      <w:r>
        <w:rPr>
          <w:rFonts w:ascii="Arial" w:cs="Arial" w:eastAsia="Arial" w:hAnsi="Arial"/>
          <w:sz w:val="20"/>
          <w:szCs w:val="20"/>
        </w:rPr>
        <w:t xml:space="preserve">Haga clic en una posición para ver qué caja contiene esa posición del rack.</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Vista de rack: cuadrícula de celdas con indicación de posiciones ocupadas y vacías, y panel informativo lateral con los detalles de la posición seleccionada]</w:t>
      </w:r>
    </w:p>
    <w:p>
      <w:pPr>
        <w:spacing w:after="200"/>
        <w:jc w:val="center"/>
      </w:pPr>
      <w:r>
        <w:rPr>
          <w:rFonts w:ascii="Arial" w:cs="Arial" w:eastAsia="Arial" w:hAnsi="Arial"/>
          <w:i/>
          <w:iCs/>
          <w:color w:val="595959"/>
          <w:sz w:val="18"/>
          <w:szCs w:val="18"/>
        </w:rPr>
        <w:t xml:space="preserve">Figura 27. Vista de rack del banco de muestras</w:t>
      </w:r>
    </w:p>
    <w:p>
      <w:pPr>
        <w:pStyle w:val="Heading2"/>
        <w:spacing w:after="120" w:before="280"/>
      </w:pPr>
      <w:r>
        <w:rPr>
          <w:rFonts w:ascii="Arial" w:cs="Arial" w:eastAsia="Arial" w:hAnsi="Arial"/>
          <w:b/>
          <w:bCs/>
          <w:color w:val="00334c"/>
          <w:sz w:val="26"/>
          <w:szCs w:val="26"/>
        </w:rPr>
        <w:t xml:space="preserve">12.3 Vista de caja</w:t>
      </w:r>
    </w:p>
    <w:p>
      <w:pPr>
        <w:spacing w:after="120"/>
      </w:pPr>
      <w:r>
        <w:rPr>
          <w:rFonts w:ascii="Arial" w:cs="Arial" w:eastAsia="Arial" w:hAnsi="Arial"/>
          <w:sz w:val="20"/>
          <w:szCs w:val="20"/>
        </w:rPr>
        <w:t xml:space="preserve">La visualización de caja muestra la disposición de las muestras dentro de una caja específica del congelador.</w:t>
      </w:r>
    </w:p>
    <w:p>
      <w:pPr>
        <w:pStyle w:val="ListParagraph"/>
        <w:numPr>
          <w:ilvl w:val="0"/>
          <w:numId w:val="3"/>
        </w:numPr>
        <w:spacing w:after="100"/>
      </w:pPr>
      <w:r>
        <w:rPr>
          <w:rFonts w:ascii="Arial" w:cs="Arial" w:eastAsia="Arial" w:hAnsi="Arial"/>
          <w:sz w:val="20"/>
          <w:szCs w:val="20"/>
        </w:rPr>
        <w:t xml:space="preserve">Seleccione la caja que desea visualizar en el selector "Selecciona Caja".</w:t>
      </w:r>
    </w:p>
    <w:p>
      <w:pPr>
        <w:pStyle w:val="ListParagraph"/>
        <w:numPr>
          <w:ilvl w:val="0"/>
          <w:numId w:val="3"/>
        </w:numPr>
        <w:spacing w:after="100"/>
      </w:pPr>
      <w:r>
        <w:rPr>
          <w:rFonts w:ascii="Arial" w:cs="Arial" w:eastAsia="Arial" w:hAnsi="Arial"/>
          <w:sz w:val="20"/>
          <w:szCs w:val="20"/>
        </w:rPr>
        <w:t xml:space="preserve">La cuadrícula mostrará las posiciones de cada muestra dentro de la caja.</w:t>
      </w:r>
    </w:p>
    <w:p>
      <w:pPr>
        <w:pStyle w:val="ListParagraph"/>
        <w:numPr>
          <w:ilvl w:val="0"/>
          <w:numId w:val="3"/>
        </w:numPr>
        <w:spacing w:after="100"/>
      </w:pPr>
      <w:r>
        <w:rPr>
          <w:rFonts w:ascii="Arial" w:cs="Arial" w:eastAsia="Arial" w:hAnsi="Arial"/>
          <w:sz w:val="20"/>
          <w:szCs w:val="20"/>
        </w:rPr>
        <w:t xml:space="preserve">Haga clic en una muestra (celda amarilla al hacer clic) para ver sus datos completos en el panel informativo.</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Vista de caja: cuadrícula de celdas representando las posiciones de la caja seleccionada, con las muestras ocupadas indicadas y el panel informativo con los datos de la muestra seleccionada]</w:t>
      </w:r>
    </w:p>
    <w:p>
      <w:pPr>
        <w:spacing w:after="200"/>
        <w:jc w:val="center"/>
      </w:pPr>
      <w:r>
        <w:rPr>
          <w:rFonts w:ascii="Arial" w:cs="Arial" w:eastAsia="Arial" w:hAnsi="Arial"/>
          <w:i/>
          <w:iCs/>
          <w:color w:val="595959"/>
          <w:sz w:val="18"/>
          <w:szCs w:val="18"/>
        </w:rPr>
        <w:t xml:space="preserve">Figura 28. Vista de caja del banco de muestras con detalle de una muestra seleccionada</w:t>
      </w:r>
    </w:p>
    <w:p>
      <w:pPr>
        <w:pStyle w:val="Heading2"/>
        <w:spacing w:after="120" w:before="280"/>
      </w:pPr>
      <w:r>
        <w:rPr>
          <w:rFonts w:ascii="Arial" w:cs="Arial" w:eastAsia="Arial" w:hAnsi="Arial"/>
          <w:b/>
          <w:bCs/>
          <w:color w:val="00334c"/>
          <w:sz w:val="26"/>
          <w:szCs w:val="26"/>
        </w:rPr>
        <w:t xml:space="preserve">12.4 Edición de una muestra</w:t>
      </w:r>
    </w:p>
    <w:p>
      <w:pPr>
        <w:spacing w:after="120"/>
      </w:pPr>
      <w:r>
        <w:rPr>
          <w:rFonts w:ascii="Arial" w:cs="Arial" w:eastAsia="Arial" w:hAnsi="Arial"/>
          <w:sz w:val="20"/>
          <w:szCs w:val="20"/>
        </w:rPr>
        <w:t xml:space="preserve">Para editar los datos de una muestra:</w:t>
      </w:r>
    </w:p>
    <w:p>
      <w:pPr>
        <w:pStyle w:val="ListParagraph"/>
        <w:numPr>
          <w:ilvl w:val="0"/>
          <w:numId w:val="3"/>
        </w:numPr>
        <w:spacing w:after="100"/>
      </w:pPr>
      <w:r>
        <w:rPr>
          <w:rFonts w:ascii="Arial" w:cs="Arial" w:eastAsia="Arial" w:hAnsi="Arial"/>
          <w:sz w:val="20"/>
          <w:szCs w:val="20"/>
        </w:rPr>
        <w:t xml:space="preserve">En la tabla de muestras, haga clic en el botón de edición de la muestra deseada, o haga clic en una muestra en la vista de caja.</w:t>
      </w:r>
    </w:p>
    <w:p>
      <w:pPr>
        <w:pStyle w:val="ListParagraph"/>
        <w:numPr>
          <w:ilvl w:val="0"/>
          <w:numId w:val="3"/>
        </w:numPr>
        <w:spacing w:after="100"/>
      </w:pPr>
      <w:r>
        <w:rPr>
          <w:rFonts w:ascii="Arial" w:cs="Arial" w:eastAsia="Arial" w:hAnsi="Arial"/>
          <w:sz w:val="20"/>
          <w:szCs w:val="20"/>
        </w:rPr>
        <w:t xml:space="preserve">Se abrirá un modal con los campos editables: nombre, cepa, especie, clon, caja, descripción.</w:t>
      </w:r>
    </w:p>
    <w:p>
      <w:pPr>
        <w:pStyle w:val="ListParagraph"/>
        <w:numPr>
          <w:ilvl w:val="0"/>
          <w:numId w:val="3"/>
        </w:numPr>
        <w:spacing w:after="100"/>
      </w:pPr>
      <w:r>
        <w:rPr>
          <w:rFonts w:ascii="Arial" w:cs="Arial" w:eastAsia="Arial" w:hAnsi="Arial"/>
          <w:sz w:val="20"/>
          <w:szCs w:val="20"/>
        </w:rPr>
        <w:t xml:space="preserve">Modifique los campos necesarios y pulse "Guardar".</w:t>
      </w:r>
    </w:p>
    <w:p>
      <w:pPr>
        <w:pBdr>
          <w:top w:val="dashed" w:color="BBBBBB" w:sz="4"/>
          <w:bottom w:val="dashed" w:color="BBBBBB" w:sz="4"/>
          <w:left w:val="dashed" w:color="BBBBBB" w:sz="4"/>
          <w:right w:val="dashed" w:color="BBBBBB" w:sz="4"/>
        </w:pBdr>
        <w:shd w:fill="F5F5F5" w:val="clear"/>
        <w:spacing w:after="60" w:before="160"/>
        <w:jc w:val="center"/>
      </w:pPr>
      <w:r>
        <w:rPr>
          <w:rFonts w:ascii="Arial" w:cs="Arial" w:eastAsia="Arial" w:hAnsi="Arial"/>
          <w:i/>
          <w:iCs/>
          <w:color w:val="888888"/>
          <w:sz w:val="18"/>
          <w:szCs w:val="18"/>
        </w:rPr>
        <w:t xml:space="preserve">[CAPTURA DE PANTALLA: Modal de edición de muestra con los campos: Name, Strain, Species, Clone, Box, Rack row, Rack col, Box row, Box col y Description, con los botones Cerrar y Guardar]</w:t>
      </w:r>
    </w:p>
    <w:p>
      <w:pPr>
        <w:spacing w:after="200"/>
        <w:jc w:val="center"/>
      </w:pPr>
      <w:r>
        <w:rPr>
          <w:rFonts w:ascii="Arial" w:cs="Arial" w:eastAsia="Arial" w:hAnsi="Arial"/>
          <w:i/>
          <w:iCs/>
          <w:color w:val="595959"/>
          <w:sz w:val="18"/>
          <w:szCs w:val="18"/>
        </w:rPr>
        <w:t xml:space="preserve">Figura 29. Modal de edición de los datos de una muestra del banco</w:t>
      </w:r>
    </w:p>
    <w:p>
      <w:r>
        <w:br w:type="page"/>
      </w:r>
    </w:p>
    <w:p>
      <w:pPr>
        <w:pStyle w:val="Heading1"/>
        <w:pBdr>
          <w:bottom w:val="single" w:color="00334c" w:sz="6" w:space="1"/>
        </w:pBdr>
        <w:spacing w:after="180" w:before="360"/>
      </w:pPr>
      <w:r>
        <w:rPr>
          <w:rFonts w:ascii="Arial" w:cs="Arial" w:eastAsia="Arial" w:hAnsi="Arial"/>
          <w:b/>
          <w:bCs/>
          <w:color w:val="00334c"/>
          <w:sz w:val="32"/>
          <w:szCs w:val="32"/>
        </w:rPr>
        <w:t xml:space="preserve">13. Glosario</w:t>
      </w:r>
    </w:p>
    <w:p>
      <w:pPr>
        <w:spacing w:after="120"/>
      </w:pPr>
      <w:r>
        <w:rPr>
          <w:rFonts w:ascii="Arial" w:cs="Arial" w:eastAsia="Arial" w:hAnsi="Arial"/>
          <w:sz w:val="20"/>
          <w:szCs w:val="20"/>
        </w:rPr>
        <w:t xml:space="preserve">Definiciones de los términos técnicos utilizados en la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w:t>
            </w:r>
          </w:p>
        </w:tc>
        <w:tc>
          <w:tcPr>
            <w:tcW w:type="dxa" w:w="6226"/>
            <w:tcBorders>
              <w:top w:val="single" w:color="00334c" w:sz="2"/>
              <w:left w:val="single" w:color="CCCCCC" w:sz="1"/>
              <w:bottom w:val="single" w:color="00334c" w:sz="2"/>
              <w:right w:val="single" w:color="CCCCCC" w:sz="1"/>
            </w:tcBorders>
            <w:shd w:fill="0033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Inhibitory Concentration (Concentración Mínima Inhibitoria). La concentración más baja de un antibiótico que inhibe el crecimiento del microorganismo. Se expresa en mg/L.</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Breakpoint (Punto de corte)</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Valor de MIC que separa las categorías S, I y R para un par antibiótico-microorganismo. Definido por EUCAST o CLSI.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 / I / 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Susceptible / Intermedio / Resistente. Categorías clínicas de susceptibilidad según EUCAST.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WT (Wild Type)</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silvestre. El gen no presenta mutaciones respecto a la cepa de referencia.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Resistoma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Conjunto de todos los genes de resistencia a antibióticos (adquiridos o mutacionales) de un microorganismo.</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Resistoma mutacional</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Genes cromosómicos que al mutar confieren resistencia (ej. gyrA, parC, mexB, oprD, PDC).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Multilocus Sequence Typing. Técnica de tipificación molecular basada en la secuencia de varios genes housekeeping.</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ST (Sequence Type)</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de secuencia asignado por MLST. Identifica linajes clonales de una especie bacteriana.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Pseudomonas-Derived Cephalosporinase. AmpC beta-lactamasa cromosómica de P. aeruginosa (&gt;200 variantes).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OprD</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Porina de membrana externa de P. aeruginosa. Su pérdida confiere resistencia a imipenem.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ECDC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European Centre for Disease Prevention and Control. Publica criterios de clasificación MDR/XDR/PDR.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MDR</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Multidrug-Resistant. Resistencia a ≥1 antibiótico en ≥3 categorías distintas.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XDR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Extensively Drug-Resistant. Resistencia a todas menos ≤2 categorías de antibióticos.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PDR</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Pandrug-Resistant. Resistencia a todos los antibióticos de todas las categorías.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Difficult-to-Treat Resistance. Categoría IDSA: resistencia a todos los antibióticos de primera línea.</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EUCAST</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European Committee on Antimicrobial Susceptibility Testing. Publica tablas de breakpoints anuales.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CLSI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Clinical and Laboratory Standards Institute. Organización americana equivalente a EUCAST.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MBL</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Metallo-Beta-Lactamase. Carbapenemasa con ión metálico. Ejemplos: VIM, IMP, NDM.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AmpC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Cefalosporinasa de clase C. En P. aeruginosa es la PDC.</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AME</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Aminoglycoside Modifying Enzyme. Enzima que modifica aminoglucósidos confiriéndoles resistencia.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Heatmap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Mapa de calor. Representación matricial donde el color indica el estado mutacional de cada gen para cada aislado.</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Polimorfismo</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Variante génica presente en la cepa pero sin conferir resistencia (diferente de mutación de resistencia).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FASTQ</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Formato estándar de fichero para datos de secuenciación de nueva generación.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ENA</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European Nucleotide Archive. Base de datos pública europea para datos de secuenciación.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CEVs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Contact-Dependent Effectors of Virulence. Escala de virulencia usada en el proyecto ARPBIG.</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IdISBa</w:t>
            </w:r>
          </w:p>
        </w:tc>
        <w:tc>
          <w:tcPr>
            <w:tcW w:type="dxa" w:w="6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Institut d'Investigació Sanitària Illes Balears. Instituto de investigación sanitaria de las Islas Baleares, España.</w:t>
            </w:r>
          </w:p>
        </w:tc>
      </w:tr>
    </w:tbl>
    <w:p>
      <w:pPr>
        <w:spacing w:after="180"/>
        <w:jc w:val="center"/>
      </w:pPr>
      <w:r>
        <w:rPr>
          <w:rFonts w:ascii="Arial" w:cs="Arial" w:eastAsia="Arial" w:hAnsi="Arial"/>
          <w:i/>
          <w:iCs/>
          <w:color w:val="595959"/>
          <w:sz w:val="18"/>
          <w:szCs w:val="18"/>
        </w:rPr>
        <w:t xml:space="preserve">Tabla 7. Glosario de términos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Manual de Usuario ARPBIG IdISBa v1.0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34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334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2026-05-28T07:39:15.357Z</dcterms:created>
  <dcterms:modified xsi:type="dcterms:W3CDTF">2026-05-28T07:39:15.358Z</dcterms:modified>
</cp:coreProperties>
</file>

<file path=docProps/custom.xml><?xml version="1.0" encoding="utf-8"?>
<Properties xmlns="http://schemas.openxmlformats.org/officeDocument/2006/custom-properties" xmlns:vt="http://schemas.openxmlformats.org/officeDocument/2006/docPropsVTypes"/>
</file>