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Madhya Pradesh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history of MPPSC begins with the former state commission Madhya Bharat Commission which was working from 1954-1956. Following the reorganization of Madhya Pradesh state, the new commission came into existence on 1 November 1956 under the Article 315 and Section 118 (2) of States Reorganisation Act, 1956[4]</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Madhya Pradesh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functions and duties of the commission are amended under the Forty-first Amendment of the Constitution of India, Article 335 and 336 which grants the commission permission to perform specific functions in the state.</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make direct recruitments of civil services in the state.</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make promotions of the state-level officers in any department.</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make transfers in civil and departmental services from one department to another.</w:t>
      </w:r>
    </w:p>
    <w:p>
      <w:pPr>
        <w:pStyle w:val="Normal"/>
        <w:numPr>
          <w:ilvl w:val="0"/>
          <w:numId w:val="2"/>
        </w:numPr>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conduct combined competitive examinations to various civil services</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Madhya Pradesh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LibreOffice/7.1.1.2$Linux_X86_64 LibreOffice_project/10$Build-2</Application>
  <AppVersion>15.0000</AppVersion>
  <Pages>2</Pages>
  <Words>526</Words>
  <Characters>2891</Characters>
  <CharactersWithSpaces>3390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2021-06-30T13:20:42Z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