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Instructions for E-RDS6 – with no eyetracking</w:t>
      </w:r>
    </w:p>
    <w:p w:rsidR="00000000" w:rsidDel="00000000" w:rsidP="00000000" w:rsidRDefault="00000000" w:rsidRPr="00000000" w14:paraId="00000002">
      <w:pPr>
        <w:pStyle w:val="Heading3"/>
        <w:rPr/>
      </w:pPr>
      <w:r w:rsidDel="00000000" w:rsidR="00000000" w:rsidRPr="00000000">
        <w:rPr>
          <w:rtl w:val="0"/>
        </w:rPr>
        <w:t xml:space="preserve">Procedure (new)</w:t>
      </w:r>
    </w:p>
    <w:p w:rsidR="00000000" w:rsidDel="00000000" w:rsidP="00000000" w:rsidRDefault="00000000" w:rsidRPr="00000000" w14:paraId="00000003">
      <w:pPr>
        <w:ind w:firstLine="0"/>
        <w:rPr/>
      </w:pPr>
      <w:r w:rsidDel="00000000" w:rsidR="00000000" w:rsidRPr="00000000">
        <w:rPr>
          <w:u w:val="single"/>
          <w:rtl w:val="0"/>
        </w:rPr>
        <w:t xml:space="preserve">Distance eye to screen</w:t>
      </w:r>
      <w:r w:rsidDel="00000000" w:rsidR="00000000" w:rsidRPr="00000000">
        <w:rPr>
          <w:rtl w:val="0"/>
        </w:rPr>
        <w:t xml:space="preserve">: 150 cm through the mirrors</w:t>
      </w:r>
    </w:p>
    <w:p w:rsidR="00000000" w:rsidDel="00000000" w:rsidP="00000000" w:rsidRDefault="00000000" w:rsidRPr="00000000" w14:paraId="00000004">
      <w:pPr>
        <w:ind w:firstLine="0"/>
        <w:rPr/>
      </w:pPr>
      <w:r w:rsidDel="00000000" w:rsidR="00000000" w:rsidRPr="00000000">
        <w:rPr>
          <w:rtl w:val="0"/>
        </w:rPr>
        <w:t xml:space="preserve">Be sure that sound is ON.</w:t>
      </w:r>
    </w:p>
    <w:p w:rsidR="00000000" w:rsidDel="00000000" w:rsidP="00000000" w:rsidRDefault="00000000" w:rsidRPr="00000000" w14:paraId="00000005">
      <w:pPr>
        <w:ind w:firstLine="0"/>
        <w:rPr/>
      </w:pPr>
      <w:r w:rsidDel="00000000" w:rsidR="00000000" w:rsidRPr="00000000">
        <w:rPr>
          <w:rtl w:val="0"/>
        </w:rPr>
        <w:t xml:space="preserve">Administer the </w:t>
      </w:r>
      <w:r w:rsidDel="00000000" w:rsidR="00000000" w:rsidRPr="00000000">
        <w:rPr>
          <w:b w:val="1"/>
          <w:rtl w:val="0"/>
        </w:rPr>
        <w:t xml:space="preserve">DST8</w:t>
      </w:r>
      <w:r w:rsidDel="00000000" w:rsidR="00000000" w:rsidRPr="00000000">
        <w:rPr>
          <w:rtl w:val="0"/>
        </w:rPr>
        <w:t xml:space="preserve">. Be sure the light is turn off for all testings.</w:t>
      </w:r>
    </w:p>
    <w:p w:rsidR="00000000" w:rsidDel="00000000" w:rsidP="00000000" w:rsidRDefault="00000000" w:rsidRPr="00000000" w14:paraId="00000006">
      <w:pPr>
        <w:ind w:firstLine="0"/>
        <w:rPr/>
      </w:pPr>
      <w:r w:rsidDel="00000000" w:rsidR="00000000" w:rsidRPr="00000000">
        <w:rPr>
          <w:rtl w:val="0"/>
        </w:rPr>
        <w:t xml:space="preserve">Run </w:t>
      </w:r>
      <w:r w:rsidDel="00000000" w:rsidR="00000000" w:rsidRPr="00000000">
        <w:rPr>
          <w:b w:val="1"/>
          <w:rtl w:val="0"/>
        </w:rPr>
        <w:t xml:space="preserve">ERDS6</w:t>
      </w:r>
      <w:r w:rsidDel="00000000" w:rsidR="00000000" w:rsidRPr="00000000">
        <w:rPr>
          <w:rtl w:val="0"/>
        </w:rPr>
        <w:t xml:space="preserve">. Start with</w:t>
      </w:r>
      <w:r w:rsidDel="00000000" w:rsidR="00000000" w:rsidRPr="00000000">
        <w:rPr>
          <w:color w:val="980000"/>
          <w:rtl w:val="0"/>
        </w:rPr>
        <w:t xml:space="preserve"> </w:t>
      </w:r>
      <w:r w:rsidDel="00000000" w:rsidR="00000000" w:rsidRPr="00000000">
        <w:rPr>
          <w:b w:val="1"/>
          <w:color w:val="980000"/>
          <w:rtl w:val="0"/>
        </w:rPr>
        <w:t xml:space="preserve">menu 3</w:t>
      </w:r>
      <w:r w:rsidDel="00000000" w:rsidR="00000000" w:rsidRPr="00000000">
        <w:rPr>
          <w:b w:val="1"/>
          <w:rtl w:val="0"/>
        </w:rPr>
        <w:t xml:space="preserve"> (practice).</w:t>
      </w:r>
      <w:r w:rsidDel="00000000" w:rsidR="00000000" w:rsidRPr="00000000">
        <w:rPr>
          <w:rtl w:val="0"/>
        </w:rPr>
        <w:t xml:space="preserve"> Enter the ID used for the DST (ID_T#)</w:t>
      </w:r>
    </w:p>
    <w:p w:rsidR="00000000" w:rsidDel="00000000" w:rsidP="00000000" w:rsidRDefault="00000000" w:rsidRPr="00000000" w14:paraId="00000007">
      <w:pPr>
        <w:ind w:firstLine="0"/>
        <w:rPr/>
      </w:pPr>
      <w:r w:rsidDel="00000000" w:rsidR="00000000" w:rsidRPr="00000000">
        <w:rPr>
          <w:rtl w:val="0"/>
        </w:rPr>
        <w:t xml:space="preserve">After checking that the participant still sees only one fused box, give the following instructions, along with the pictures:</w:t>
      </w:r>
    </w:p>
    <w:p w:rsidR="00000000" w:rsidDel="00000000" w:rsidP="00000000" w:rsidRDefault="00000000" w:rsidRPr="00000000" w14:paraId="00000008">
      <w:pPr>
        <w:ind w:firstLine="0"/>
        <w:rPr/>
      </w:pPr>
      <w:r w:rsidDel="00000000" w:rsidR="00000000" w:rsidRPr="00000000">
        <w:rPr>
          <w:rtl w:val="0"/>
        </w:rPr>
        <w:t xml:space="preserve">“Before each presentation, you will see  a fixation cross and circle in the middle of the screen. When the small dot in the center turns white, press the spacebar to make the stimulus appear. The stimulus is divided in 3 horizontal sections. Each section will have either blue and black points, or white and black points. You will be presented either with blue/black on top and bottom sections (and white/black in the middle), or with blue/black in the middle (and white/black on top and bottom sections).</w:t>
      </w:r>
    </w:p>
    <w:p w:rsidR="00000000" w:rsidDel="00000000" w:rsidP="00000000" w:rsidRDefault="00000000" w:rsidRPr="00000000" w14:paraId="00000009">
      <w:pPr>
        <w:ind w:firstLine="0"/>
        <w:rPr>
          <w:i w:val="1"/>
        </w:rPr>
      </w:pPr>
      <w:r w:rsidDel="00000000" w:rsidR="00000000" w:rsidRPr="00000000">
        <w:rPr>
          <w:rtl w:val="0"/>
        </w:rPr>
        <w:t xml:space="preserve">The target is the blue/black section(s). The target will appear in a different depth plane than the other section(s). </w:t>
      </w:r>
      <w:r w:rsidDel="00000000" w:rsidR="00000000" w:rsidRPr="00000000">
        <w:rPr>
          <w:i w:val="1"/>
          <w:rtl w:val="0"/>
        </w:rPr>
        <w:t xml:space="preserve">(Show to the participant the sheet with stimuli </w:t>
      </w:r>
      <w:hyperlink r:id="rId7">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If you see the target closer to you than the black/white band(s), press down arrow key. It will look like a black and blue band(s) is floating in front. </w:t>
      </w:r>
    </w:p>
    <w:p w:rsidR="00000000" w:rsidDel="00000000" w:rsidP="00000000" w:rsidRDefault="00000000" w:rsidRPr="00000000" w14:paraId="0000000B">
      <w:pPr>
        <w:ind w:firstLine="0"/>
        <w:rPr/>
      </w:pPr>
      <w:r w:rsidDel="00000000" w:rsidR="00000000" w:rsidRPr="00000000">
        <w:rPr>
          <w:rtl w:val="0"/>
        </w:rPr>
        <w:t xml:space="preserve">If the target is further away than the black/white band(s), press the up arrow key. It will look like a blue/black horizontal hole. A correct response will bring a high pitch tone. Guess what is the most likely if you have doubts. Be careful because there are black dots both in the target and in the background. Imagine that you see blue dots in the center section  far behind some of the white dots. What would you answer?”</w:t>
      </w:r>
    </w:p>
    <w:p w:rsidR="00000000" w:rsidDel="00000000" w:rsidP="00000000" w:rsidRDefault="00000000" w:rsidRPr="00000000" w14:paraId="0000000C">
      <w:pPr>
        <w:ind w:firstLine="0"/>
        <w:rPr/>
      </w:pPr>
      <w:r w:rsidDel="00000000" w:rsidR="00000000" w:rsidRPr="00000000">
        <w:rPr>
          <w:rtl w:val="0"/>
        </w:rPr>
        <w:t xml:space="preserve">If the answer is incorrect, repeat the instructions.</w:t>
      </w:r>
    </w:p>
    <w:p w:rsidR="00000000" w:rsidDel="00000000" w:rsidP="00000000" w:rsidRDefault="00000000" w:rsidRPr="00000000" w14:paraId="0000000D">
      <w:pPr>
        <w:ind w:firstLine="0"/>
        <w:rPr/>
      </w:pPr>
      <w:r w:rsidDel="00000000" w:rsidR="00000000" w:rsidRPr="00000000">
        <w:rPr>
          <w:rtl w:val="0"/>
        </w:rPr>
        <w:t xml:space="preserve">“This is a practice, so the dots are going to be shown for long, and the task will be easy.”</w:t>
      </w:r>
    </w:p>
    <w:p w:rsidR="00000000" w:rsidDel="00000000" w:rsidP="00000000" w:rsidRDefault="00000000" w:rsidRPr="00000000" w14:paraId="0000000E">
      <w:pPr>
        <w:ind w:firstLine="0"/>
        <w:rPr>
          <w:b w:val="1"/>
        </w:rPr>
      </w:pPr>
      <w:r w:rsidDel="00000000" w:rsidR="00000000" w:rsidRPr="00000000">
        <w:rPr>
          <w:rtl w:val="0"/>
        </w:rPr>
      </w:r>
    </w:p>
    <w:p w:rsidR="00000000" w:rsidDel="00000000" w:rsidP="00000000" w:rsidRDefault="00000000" w:rsidRPr="00000000" w14:paraId="0000000F">
      <w:pPr>
        <w:ind w:firstLine="0"/>
        <w:rPr>
          <w:b w:val="1"/>
        </w:rPr>
      </w:pPr>
      <w:r w:rsidDel="00000000" w:rsidR="00000000" w:rsidRPr="00000000">
        <w:rPr>
          <w:b w:val="1"/>
          <w:rtl w:val="0"/>
        </w:rPr>
        <w:t xml:space="preserve">ERDS 2000ms</w:t>
      </w:r>
    </w:p>
    <w:p w:rsidR="00000000" w:rsidDel="00000000" w:rsidP="00000000" w:rsidRDefault="00000000" w:rsidRPr="00000000" w14:paraId="00000010">
      <w:pPr>
        <w:ind w:firstLine="0"/>
        <w:rPr/>
      </w:pPr>
      <w:r w:rsidDel="00000000" w:rsidR="00000000" w:rsidRPr="00000000">
        <w:rPr>
          <w:rtl w:val="0"/>
        </w:rPr>
        <w:t xml:space="preserve">To have all measures at the same scale, use menu 15. If 15 is too difficult at the first session, then also run menu 14. </w:t>
      </w:r>
      <w:r w:rsidDel="00000000" w:rsidR="00000000" w:rsidRPr="00000000">
        <w:rPr>
          <w:color w:val="a61c00"/>
          <w:rtl w:val="0"/>
        </w:rPr>
        <w:t xml:space="preserve">Maybe introduce a message after the indiv analysis ? </w:t>
      </w:r>
      <w:r w:rsidDel="00000000" w:rsidR="00000000" w:rsidRPr="00000000">
        <w:rPr>
          <w:rtl w:val="0"/>
        </w:rPr>
        <w:t xml:space="preserve">(Menu 12 will not be used for this study). Enter an ID for the E-RDS file that will be saved (ID_Menu#_T#).  </w:t>
      </w:r>
    </w:p>
    <w:p w:rsidR="00000000" w:rsidDel="00000000" w:rsidP="00000000" w:rsidRDefault="00000000" w:rsidRPr="00000000" w14:paraId="00000011">
      <w:pPr>
        <w:ind w:firstLine="0"/>
        <w:rPr/>
      </w:pPr>
      <w:r w:rsidDel="00000000" w:rsidR="00000000" w:rsidRPr="00000000">
        <w:rPr>
          <w:rtl w:val="0"/>
        </w:rPr>
        <w:t xml:space="preserve">Give the following extra instructions: </w:t>
      </w:r>
    </w:p>
    <w:p w:rsidR="00000000" w:rsidDel="00000000" w:rsidP="00000000" w:rsidRDefault="00000000" w:rsidRPr="00000000" w14:paraId="00000012">
      <w:pPr>
        <w:ind w:firstLine="0"/>
        <w:rPr>
          <w:color w:val="b7b7b7"/>
        </w:rPr>
      </w:pPr>
      <w:r w:rsidDel="00000000" w:rsidR="00000000" w:rsidRPr="00000000">
        <w:rPr>
          <w:rtl w:val="0"/>
        </w:rPr>
        <w:t xml:space="preserve"> “Are you still seeing one large box? This is going to be long presentations, and all the same, except that this is not a practice anymore. As a result, it will be longer, around </w:t>
      </w:r>
      <w:r w:rsidDel="00000000" w:rsidR="00000000" w:rsidRPr="00000000">
        <w:rPr>
          <w:color w:val="980000"/>
          <w:rtl w:val="0"/>
        </w:rPr>
        <w:t xml:space="preserve">10 min </w:t>
      </w:r>
      <w:r w:rsidDel="00000000" w:rsidR="00000000" w:rsidRPr="00000000">
        <w:rPr>
          <w:rtl w:val="0"/>
        </w:rPr>
        <w:t xml:space="preserve">long, and the feedback sound will only tell you that you have answered, not whether it was correct or not. Please do your best, even if you are not confident about your answers. </w:t>
      </w:r>
      <w:r w:rsidDel="00000000" w:rsidR="00000000" w:rsidRPr="00000000">
        <w:rPr>
          <w:color w:val="980000"/>
          <w:rtl w:val="0"/>
        </w:rPr>
        <w:t xml:space="preserve">You can look everywhere on the stimulus but </w:t>
      </w:r>
      <w:r w:rsidDel="00000000" w:rsidR="00000000" w:rsidRPr="00000000">
        <w:rPr>
          <w:b w:val="1"/>
          <w:color w:val="980000"/>
          <w:rtl w:val="0"/>
        </w:rPr>
        <w:t xml:space="preserve">it is important that you look at different places</w:t>
      </w:r>
      <w:r w:rsidDel="00000000" w:rsidR="00000000" w:rsidRPr="00000000">
        <w:rPr>
          <w:color w:val="980000"/>
          <w:rtl w:val="0"/>
        </w:rPr>
        <w:t xml:space="preserve">, </w:t>
      </w:r>
      <w:r w:rsidDel="00000000" w:rsidR="00000000" w:rsidRPr="00000000">
        <w:rPr>
          <w:rtl w:val="0"/>
        </w:rPr>
        <w:t xml:space="preserve"> I will leave the room, please call me if you need anything.”</w:t>
      </w:r>
      <w:r w:rsidDel="00000000" w:rsidR="00000000" w:rsidRPr="00000000">
        <w:rPr>
          <w:rtl w:val="0"/>
        </w:rPr>
      </w:r>
    </w:p>
    <w:p w:rsidR="00000000" w:rsidDel="00000000" w:rsidP="00000000" w:rsidRDefault="00000000" w:rsidRPr="00000000" w14:paraId="00000013">
      <w:pPr>
        <w:ind w:firstLine="0"/>
        <w:rPr>
          <w:b w:val="1"/>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b w:val="1"/>
          <w:rtl w:val="0"/>
        </w:rPr>
        <w:t xml:space="preserve">ERDS 200ms</w:t>
      </w: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t xml:space="preserve">To have all measures at the same scale, use menu 8. If 8 is too difficult at the first session, then also run menu 7. </w:t>
      </w:r>
      <w:r w:rsidDel="00000000" w:rsidR="00000000" w:rsidRPr="00000000">
        <w:rPr>
          <w:color w:val="a61c00"/>
          <w:rtl w:val="0"/>
        </w:rPr>
        <w:t xml:space="preserve">Maybe introduce a message after the indiv analysis ? </w:t>
      </w:r>
      <w:r w:rsidDel="00000000" w:rsidR="00000000" w:rsidRPr="00000000">
        <w:rPr>
          <w:rtl w:val="0"/>
        </w:rPr>
        <w:t xml:space="preserve">(Menu 11  will not be used for this study). Enter a </w:t>
      </w:r>
      <w:r w:rsidDel="00000000" w:rsidR="00000000" w:rsidRPr="00000000">
        <w:rPr>
          <w:b w:val="1"/>
          <w:rtl w:val="0"/>
        </w:rPr>
        <w:t xml:space="preserve">different ID</w:t>
      </w:r>
      <w:r w:rsidDel="00000000" w:rsidR="00000000" w:rsidRPr="00000000">
        <w:rPr>
          <w:rtl w:val="0"/>
        </w:rPr>
        <w:t xml:space="preserve"> for the E-RDS file that will be save (ID_Menu#_T#).. </w:t>
      </w:r>
    </w:p>
    <w:p w:rsidR="00000000" w:rsidDel="00000000" w:rsidP="00000000" w:rsidRDefault="00000000" w:rsidRPr="00000000" w14:paraId="00000016">
      <w:pPr>
        <w:ind w:firstLine="0"/>
        <w:rPr/>
      </w:pPr>
      <w:r w:rsidDel="00000000" w:rsidR="00000000" w:rsidRPr="00000000">
        <w:rPr>
          <w:rtl w:val="0"/>
        </w:rPr>
        <w:t xml:space="preserve">Give the following extra instructions: </w:t>
      </w:r>
    </w:p>
    <w:p w:rsidR="00000000" w:rsidDel="00000000" w:rsidP="00000000" w:rsidRDefault="00000000" w:rsidRPr="00000000" w14:paraId="00000017">
      <w:pPr>
        <w:ind w:firstLine="0"/>
        <w:rPr/>
      </w:pPr>
      <w:r w:rsidDel="00000000" w:rsidR="00000000" w:rsidRPr="00000000">
        <w:rPr>
          <w:rtl w:val="0"/>
        </w:rPr>
        <w:t xml:space="preserve"> “Are you still seeing one large box? This is going to be the same exercise, with flashed presentations. It will take only 5 min. Remember that the feedback sound will only tell you that you have answered, not whether it was correct or not. Please do your best, even if you are not confident about your answers. I will leave the room, please call me if you need anything.”</w:t>
      </w:r>
    </w:p>
    <w:p w:rsidR="00000000" w:rsidDel="00000000" w:rsidP="00000000" w:rsidRDefault="00000000" w:rsidRPr="00000000" w14:paraId="00000018">
      <w:pPr>
        <w:ind w:left="720" w:firstLine="0"/>
        <w:rPr>
          <w:color w:val="999999"/>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Crash control</w:t>
      </w:r>
    </w:p>
    <w:p w:rsidR="00000000" w:rsidDel="00000000" w:rsidP="00000000" w:rsidRDefault="00000000" w:rsidRPr="00000000" w14:paraId="0000001A">
      <w:pPr>
        <w:ind w:firstLine="0"/>
        <w:rPr/>
      </w:pPr>
      <w:r w:rsidDel="00000000" w:rsidR="00000000" w:rsidRPr="00000000">
        <w:rPr>
          <w:rtl w:val="0"/>
        </w:rPr>
        <w:t xml:space="preserve">If you need to exit, press backspace for the clean way, ctr+C and sca, enter for the brutal way, and on windows ctr+alt+del and end PTB onscreen for the dirty way. If you cannot write in the command window anymore, press ctr+C. If you cannot see the taskbar on Windows, write ShowHideWinTaskbarMex. If you want to know what happens, there should be a log file with the content of the command window available by date and time in the log folder. Data are in the dataFiles folder.</w:t>
      </w:r>
    </w:p>
    <w:p w:rsidR="00000000" w:rsidDel="00000000" w:rsidP="00000000" w:rsidRDefault="00000000" w:rsidRPr="00000000" w14:paraId="0000001B">
      <w:pPr>
        <w:ind w:firstLine="0"/>
        <w:rPr>
          <w:color w:val="980000"/>
        </w:rPr>
      </w:pPr>
      <w:r w:rsidDel="00000000" w:rsidR="00000000" w:rsidRPr="00000000">
        <w:rPr>
          <w:color w:val="980000"/>
          <w:rtl w:val="0"/>
        </w:rPr>
        <w:t xml:space="preserve">If a program is exit by mistake using the backspace key, restarting the program with the same ID should load the last session and start the program where it was left.</w:t>
      </w:r>
    </w:p>
    <w:p w:rsidR="00000000" w:rsidDel="00000000" w:rsidP="00000000" w:rsidRDefault="00000000" w:rsidRPr="00000000" w14:paraId="0000001C">
      <w:pPr>
        <w:pStyle w:val="Heading3"/>
        <w:rPr/>
      </w:pPr>
      <w:r w:rsidDel="00000000" w:rsidR="00000000" w:rsidRPr="00000000">
        <w:rPr>
          <w:rtl w:val="0"/>
        </w:rPr>
        <w:t xml:space="preserve">Analysis</w:t>
      </w:r>
    </w:p>
    <w:p w:rsidR="00000000" w:rsidDel="00000000" w:rsidP="00000000" w:rsidRDefault="00000000" w:rsidRPr="00000000" w14:paraId="0000001D">
      <w:pPr>
        <w:ind w:firstLine="0"/>
        <w:rPr>
          <w:color w:val="980000"/>
        </w:rPr>
      </w:pPr>
      <w:r w:rsidDel="00000000" w:rsidR="00000000" w:rsidRPr="00000000">
        <w:rPr>
          <w:color w:val="980000"/>
          <w:rtl w:val="0"/>
        </w:rPr>
        <w:t xml:space="preserve">Do we use indivAnalysis (I guess not) and do we have a command to add the results to xls file ?</w:t>
      </w:r>
    </w:p>
    <w:p w:rsidR="00000000" w:rsidDel="00000000" w:rsidP="00000000" w:rsidRDefault="00000000" w:rsidRPr="00000000" w14:paraId="0000001E">
      <w:pPr>
        <w:ind w:firstLine="0"/>
        <w:rPr/>
      </w:pPr>
      <w:r w:rsidDel="00000000" w:rsidR="00000000" w:rsidRPr="00000000">
        <w:rPr>
          <w:rtl w:val="0"/>
        </w:rPr>
        <w:t xml:space="preserve">Use file indivAnalysisERDS_simple2 with the ID given for the participant. You can cumulate more than one file (for example, at the end of two rounds) between curly brackets. Ex:</w:t>
      </w:r>
    </w:p>
    <w:p w:rsidR="00000000" w:rsidDel="00000000" w:rsidP="00000000" w:rsidRDefault="00000000" w:rsidRPr="00000000" w14:paraId="0000001F">
      <w:pPr>
        <w:ind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indivAnalysisERDS_simpl({'syl02_15_T1','syl03_08_T1'})</w:t>
      </w:r>
    </w:p>
    <w:p w:rsidR="00000000" w:rsidDel="00000000" w:rsidP="00000000" w:rsidRDefault="00000000" w:rsidRPr="00000000" w14:paraId="00000020">
      <w:pPr>
        <w:ind w:firstLine="0"/>
        <w:rPr/>
      </w:pPr>
      <w:bookmarkStart w:colFirst="0" w:colLast="0" w:name="_heading=h.gjdgxs" w:id="0"/>
      <w:bookmarkEnd w:id="0"/>
      <w:r w:rsidDel="00000000" w:rsidR="00000000" w:rsidRPr="00000000">
        <w:rPr>
          <w:rtl w:val="0"/>
        </w:rPr>
        <w:t xml:space="preserve">The results are two figures. One the first figure, 9 profiles are tested. The best model is selected on figure 2 (left). The threshold obtained is visible on the figure (thr=) or in the command window (Threshold (75% critical point - PSE)… in final results section). Use the </w:t>
      </w:r>
      <w:r w:rsidDel="00000000" w:rsidR="00000000" w:rsidRPr="00000000">
        <w:rPr>
          <w:b w:val="1"/>
          <w:rtl w:val="0"/>
        </w:rPr>
        <w:t xml:space="preserve">first </w:t>
      </w:r>
      <w:r w:rsidDel="00000000" w:rsidR="00000000" w:rsidRPr="00000000">
        <w:rPr>
          <w:rtl w:val="0"/>
        </w:rPr>
        <w:t xml:space="preserve">estimate of threshold in the command window though. Anything in red on the figure may indicate a bad fit or something unexpected. The right part of figure 2 shows the performance across time. Progressive increase indicates learning, progressive decrease indicates fatigue and large variations indicates day-dreaming/inattention.</w:t>
      </w:r>
    </w:p>
    <w:p w:rsidR="00000000" w:rsidDel="00000000" w:rsidP="00000000" w:rsidRDefault="00000000" w:rsidRPr="00000000" w14:paraId="00000021">
      <w:pPr>
        <w:ind w:firstLine="0"/>
        <w:rPr/>
      </w:pPr>
      <w:bookmarkStart w:colFirst="0" w:colLast="0" w:name="_heading=h.30j0zll" w:id="1"/>
      <w:bookmarkEnd w:id="1"/>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360" w:lineRule="auto"/>
        <w:ind w:firstLine="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240" w:lineRule="auto"/>
      <w:jc w:val="center"/>
    </w:pPr>
    <w:rPr>
      <w:b w:val="1"/>
      <w:smallCaps w:val="1"/>
      <w:color w:val="0f243e"/>
      <w:sz w:val="40"/>
      <w:szCs w:val="40"/>
    </w:rPr>
  </w:style>
  <w:style w:type="paragraph" w:styleId="Heading2">
    <w:name w:val="heading 2"/>
    <w:basedOn w:val="Normal"/>
    <w:next w:val="Normal"/>
    <w:pPr>
      <w:keepNext w:val="1"/>
      <w:spacing w:after="360" w:before="480" w:line="240" w:lineRule="auto"/>
      <w:ind w:left="737" w:firstLine="0"/>
    </w:pPr>
    <w:rPr>
      <w:b w:val="1"/>
      <w:sz w:val="36"/>
      <w:szCs w:val="36"/>
    </w:rPr>
  </w:style>
  <w:style w:type="paragraph" w:styleId="Heading3">
    <w:name w:val="heading 3"/>
    <w:basedOn w:val="Normal"/>
    <w:next w:val="Normal"/>
    <w:pPr>
      <w:keepNext w:val="1"/>
      <w:spacing w:after="240" w:before="480" w:line="240" w:lineRule="auto"/>
      <w:ind w:left="1440" w:firstLine="0"/>
    </w:pPr>
    <w:rPr>
      <w:sz w:val="32"/>
      <w:szCs w:val="32"/>
    </w:rPr>
  </w:style>
  <w:style w:type="paragraph" w:styleId="Heading4">
    <w:name w:val="heading 4"/>
    <w:basedOn w:val="Normal"/>
    <w:next w:val="Normal"/>
    <w:pPr>
      <w:keepNext w:val="1"/>
      <w:pBdr>
        <w:bottom w:color="000000" w:space="1" w:sz="4" w:val="single"/>
      </w:pBdr>
      <w:spacing w:after="360" w:before="480" w:line="240" w:lineRule="auto"/>
      <w:ind w:left="2836" w:firstLine="0"/>
    </w:pPr>
    <w:rPr>
      <w:b w:val="1"/>
      <w:sz w:val="24"/>
      <w:szCs w:val="24"/>
    </w:rPr>
  </w:style>
  <w:style w:type="paragraph" w:styleId="Heading5">
    <w:name w:val="heading 5"/>
    <w:basedOn w:val="Normal"/>
    <w:next w:val="Normal"/>
    <w:pPr>
      <w:keepNext w:val="1"/>
      <w:pBdr>
        <w:bottom w:color="548dd4" w:space="1" w:sz="4" w:val="single"/>
      </w:pBdr>
      <w:spacing w:before="200" w:line="240" w:lineRule="auto"/>
      <w:ind w:left="2880" w:firstLine="0"/>
    </w:pPr>
    <w:rPr/>
  </w:style>
  <w:style w:type="paragraph" w:styleId="Heading6">
    <w:name w:val="heading 6"/>
    <w:basedOn w:val="Normal"/>
    <w:next w:val="Normal"/>
    <w:pPr>
      <w:pBdr>
        <w:bottom w:color="938953" w:space="1" w:sz="8" w:val="dotted"/>
      </w:pBdr>
      <w:spacing w:after="100" w:before="200" w:lineRule="auto"/>
      <w:ind w:left="3600" w:firstLine="0"/>
    </w:pPr>
    <w:rPr>
      <w:smallCaps w:val="1"/>
      <w:color w:val="938953"/>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pPr>
    <w:rPr>
      <w:rFonts w:ascii="Cambria" w:cs="Cambria" w:eastAsia="Cambria" w:hAnsi="Cambria"/>
      <w:b w:val="0"/>
      <w:i w:val="0"/>
      <w:smallCaps w:val="1"/>
      <w:strike w:val="0"/>
      <w:color w:val="17365d"/>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240" w:lineRule="auto"/>
      <w:jc w:val="center"/>
    </w:pPr>
    <w:rPr>
      <w:b w:val="1"/>
      <w:smallCaps w:val="1"/>
      <w:color w:val="0f243e"/>
      <w:sz w:val="40"/>
      <w:szCs w:val="40"/>
    </w:rPr>
  </w:style>
  <w:style w:type="paragraph" w:styleId="Heading2">
    <w:name w:val="heading 2"/>
    <w:basedOn w:val="Normal"/>
    <w:next w:val="Normal"/>
    <w:pPr>
      <w:keepNext w:val="1"/>
      <w:spacing w:after="360" w:before="480" w:line="240" w:lineRule="auto"/>
      <w:ind w:left="737" w:firstLine="0"/>
    </w:pPr>
    <w:rPr>
      <w:b w:val="1"/>
      <w:sz w:val="36"/>
      <w:szCs w:val="36"/>
    </w:rPr>
  </w:style>
  <w:style w:type="paragraph" w:styleId="Heading3">
    <w:name w:val="heading 3"/>
    <w:basedOn w:val="Normal"/>
    <w:next w:val="Normal"/>
    <w:pPr>
      <w:keepNext w:val="1"/>
      <w:spacing w:after="240" w:before="480" w:line="240" w:lineRule="auto"/>
      <w:ind w:left="1440" w:firstLine="0"/>
    </w:pPr>
    <w:rPr>
      <w:sz w:val="32"/>
      <w:szCs w:val="32"/>
    </w:rPr>
  </w:style>
  <w:style w:type="paragraph" w:styleId="Heading4">
    <w:name w:val="heading 4"/>
    <w:basedOn w:val="Normal"/>
    <w:next w:val="Normal"/>
    <w:pPr>
      <w:keepNext w:val="1"/>
      <w:pBdr>
        <w:bottom w:color="000000" w:space="1" w:sz="4" w:val="single"/>
      </w:pBdr>
      <w:spacing w:after="360" w:before="480" w:line="240" w:lineRule="auto"/>
      <w:ind w:left="2836" w:firstLine="0"/>
    </w:pPr>
    <w:rPr>
      <w:b w:val="1"/>
      <w:sz w:val="24"/>
      <w:szCs w:val="24"/>
    </w:rPr>
  </w:style>
  <w:style w:type="paragraph" w:styleId="Heading5">
    <w:name w:val="heading 5"/>
    <w:basedOn w:val="Normal"/>
    <w:next w:val="Normal"/>
    <w:pPr>
      <w:keepNext w:val="1"/>
      <w:pBdr>
        <w:bottom w:color="548dd4" w:space="1" w:sz="4" w:val="single"/>
      </w:pBdr>
      <w:spacing w:before="200" w:line="240" w:lineRule="auto"/>
      <w:ind w:left="2880" w:firstLine="0"/>
    </w:pPr>
    <w:rPr/>
  </w:style>
  <w:style w:type="paragraph" w:styleId="Heading6">
    <w:name w:val="heading 6"/>
    <w:basedOn w:val="Normal"/>
    <w:next w:val="Normal"/>
    <w:pPr>
      <w:pBdr>
        <w:bottom w:color="938953" w:space="1" w:sz="8" w:val="dotted"/>
      </w:pBdr>
      <w:spacing w:after="100" w:before="200" w:lineRule="auto"/>
      <w:ind w:left="3600" w:firstLine="0"/>
    </w:pPr>
    <w:rPr>
      <w:smallCaps w:val="1"/>
      <w:color w:val="938953"/>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pPr>
    <w:rPr>
      <w:rFonts w:ascii="Cambria" w:cs="Cambria" w:eastAsia="Cambria" w:hAnsi="Cambria"/>
      <w:b w:val="0"/>
      <w:i w:val="0"/>
      <w:smallCaps w:val="1"/>
      <w:strike w:val="0"/>
      <w:color w:val="17365d"/>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left"/>
    </w:pPr>
    <w:rPr>
      <w:rFonts w:ascii="Calibri" w:cs="Calibri" w:eastAsia="Calibri" w:hAnsi="Calibri"/>
      <w:b w:val="0"/>
      <w:i w:val="0"/>
      <w:smallCaps w:val="1"/>
      <w:strike w:val="0"/>
      <w:color w:val="938953"/>
      <w:sz w:val="28"/>
      <w:szCs w:val="28"/>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left"/>
    </w:pPr>
    <w:rPr>
      <w:rFonts w:ascii="Calibri" w:cs="Calibri" w:eastAsia="Calibri" w:hAnsi="Calibri"/>
      <w:b w:val="0"/>
      <w:i w:val="0"/>
      <w:smallCaps w:val="1"/>
      <w:strike w:val="0"/>
      <w:color w:val="938953"/>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snzX_SCDktNxICBzQRe40A8t3iZZqYHEutWNvoCir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VTsO2jL+irRFp+klRrk/kha5SQ==">AMUW2mUo4GjpZfeLa3aIReCKE3fOLj1xerL0APqA2F92lqLxYK6ak9EuOAhnnRzv0QpuYn9UyxlfgF4kje6iBZLD9N8K1CbW2SU5lQUD7bGftI2LcKqyizNP+J86WspHrFhGd6aq7N0x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