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93B"/>
          <w:sz w:val="40"/>
        </w:rPr>
        <w:t>Systems Performance Analysis:</w:t>
        <w:br/>
        <w:t>Raj Jain's Response Time vs. Speedometer 3.0 Score</w:t>
      </w:r>
    </w:p>
    <w:p>
      <w:pPr>
        <w:spacing w:after="480"/>
        <w:jc w:val="center"/>
      </w:pPr>
      <w:r>
        <w:rPr>
          <w:rFonts w:ascii="Arial" w:hAnsi="Arial"/>
          <w:i/>
          <w:color w:val="64748B"/>
          <w:sz w:val="22"/>
        </w:rPr>
        <w:t>Theoretical Foundations, Queueing Models, and Mathematical Derivations</w:t>
        <w:br/>
        <w:t>Spectra Systems Evaluation Platform</w:t>
      </w:r>
    </w:p>
    <w:p>
      <w:pPr>
        <w:pStyle w:val="Heading1"/>
        <w:spacing w:before="320" w:after="160"/>
      </w:pPr>
      <w:r>
        <w:t>1. Executive Summary &amp; Core Distinction</w:t>
      </w:r>
    </w:p>
    <w:p>
      <w:r>
        <w:rPr>
          <w:b/>
        </w:rPr>
        <w:t xml:space="preserve">Are Raj Jain's classical Response Time and Speedometer 3.0's score the same metric? </w:t>
      </w:r>
      <w:r>
        <w:t>No, they are not the same thing. While they measure the same underlying physical phenomenon (the duration required to execute web application tasks), they report it in fundamentally opposite ways. Raj Jain’s definition of Response Time is a raw time-based latency metric where lower is better (LB). In contrast, Speedometer 3.0 produces a composite throughput-style score where higher is better (HB), expressed in runs per minute.</w:t>
      </w:r>
    </w:p>
    <w:p>
      <w:pPr>
        <w:pStyle w:val="Heading1"/>
        <w:spacing w:before="320" w:after="160"/>
      </w:pPr>
      <w:r>
        <w:t>2. The Dual Dimensions of Performance: The 'What' vs. The 'How'</w:t>
      </w:r>
    </w:p>
    <w:p>
      <w:pPr>
        <w:pStyle w:val="Heading2"/>
      </w:pPr>
      <w:r>
        <w:t>2.1 The Core Phenomenon (The 'What')</w:t>
      </w:r>
    </w:p>
    <w:p>
      <w:r>
        <w:rPr>
          <w:b/>
        </w:rPr>
        <w:t xml:space="preserve">• Raj Jain's Definition: </w:t>
      </w:r>
      <w:r>
        <w:t>In 'The Art of Computer Systems Performance Analysis' (Chapters 3 &amp; 10), Jain defines Response Time as the specific time interval between a user's request and the system's response. It is a pure latency metric measured in milliseconds or seconds (T_finish - T_start). Jain treats it as one of the primary 'raw' performance metrics, from which variability, confidence intervals, and tail percentiles (e.g., P90, P99) are derived.</w:t>
      </w:r>
    </w:p>
    <w:p>
      <w:r>
        <w:rPr>
          <w:b/>
        </w:rPr>
        <w:t xml:space="preserve">• Speedometer 3.0's Raw Measurement: </w:t>
      </w:r>
      <w:r>
        <w:t>Speedometer captures exactly this raw latency data—the execution runtime of specific synchronous and asynchronous DOM tasks (e.g., time to add 100 Todo items, time to calculate React virtual DOM diffs, time to render SVG canvas animations).</w:t>
      </w:r>
    </w:p>
    <w:p>
      <w:pPr>
        <w:pStyle w:val="Heading2"/>
      </w:pPr>
      <w:r>
        <w:t>2.2 The Reported Metric (The 'How')</w:t>
      </w:r>
    </w:p>
    <w:p>
      <w:r>
        <w:t>This is where the divergence occurs. Speedometer 3.0 takes the raw task response time data and inverts it to create a normalized score. Mechanically, it computes the reciprocal of the geometric mean duration across all test suites, scaled to a 60-second window:</w:t>
      </w:r>
    </w:p>
    <w:p>
      <w:pPr>
        <w:ind w:left="576"/>
      </w:pPr>
      <w:r>
        <w:rPr>
          <w:rFonts w:ascii="Consolas" w:hAnsi="Consolas"/>
          <w:b/>
          <w:color w:val="0F172A"/>
          <w:sz w:val="21"/>
        </w:rPr>
        <w:t>Speedometer Score S = (60,000 ms) / GeoMean(t₁, t₂, ..., tₙ)  [Runs / Minute]</w:t>
      </w:r>
    </w:p>
    <w:p>
      <w:pPr>
        <w:pStyle w:val="Heading1"/>
        <w:spacing w:before="320" w:after="160"/>
      </w:pPr>
      <w:r>
        <w:t>3. Formal Comparative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tcMar>
              <w:top w:w="100" w:type="dxa"/>
              <w:bottom w:w="100" w:type="dxa"/>
              <w:left w:w="140" w:type="dxa"/>
              <w:right w:w="140" w:type="dxa"/>
            </w:tcMar>
            <w:shd w:val="clear" w:color="auto" w:fill="1E293B"/>
          </w:tcPr>
          <w:p>
            <w:pPr>
              <w:spacing w:after="0"/>
            </w:pPr>
            <w:r>
              <w:rPr>
                <w:rFonts w:ascii="Arial" w:hAnsi="Arial"/>
                <w:b/>
                <w:color w:val="FFFFFF"/>
                <w:sz w:val="19"/>
              </w:rPr>
              <w:t>Feature Dimension</w:t>
            </w:r>
          </w:p>
        </w:tc>
        <w:tc>
          <w:tcPr>
            <w:tcW w:type="dxa" w:w="3312"/>
            <w:tcMar>
              <w:top w:w="100" w:type="dxa"/>
              <w:bottom w:w="100" w:type="dxa"/>
              <w:left w:w="140" w:type="dxa"/>
              <w:right w:w="140" w:type="dxa"/>
            </w:tcMar>
            <w:shd w:val="clear" w:color="auto" w:fill="1E293B"/>
          </w:tcPr>
          <w:p>
            <w:pPr>
              <w:spacing w:after="0"/>
            </w:pPr>
            <w:r>
              <w:rPr>
                <w:rFonts w:ascii="Arial" w:hAnsi="Arial"/>
                <w:b/>
                <w:color w:val="FFFFFF"/>
                <w:sz w:val="19"/>
              </w:rPr>
              <w:t>Raj Jain's Response Time</w:t>
            </w:r>
          </w:p>
        </w:tc>
        <w:tc>
          <w:tcPr>
            <w:tcW w:type="dxa" w:w="3456"/>
            <w:tcMar>
              <w:top w:w="100" w:type="dxa"/>
              <w:bottom w:w="100" w:type="dxa"/>
              <w:left w:w="140" w:type="dxa"/>
              <w:right w:w="140" w:type="dxa"/>
            </w:tcMar>
            <w:shd w:val="clear" w:color="auto" w:fill="1E293B"/>
          </w:tcPr>
          <w:p>
            <w:pPr>
              <w:spacing w:after="0"/>
            </w:pPr>
            <w:r>
              <w:rPr>
                <w:rFonts w:ascii="Arial" w:hAnsi="Arial"/>
                <w:b/>
                <w:color w:val="FFFFFF"/>
                <w:sz w:val="19"/>
              </w:rPr>
              <w:t>Speedometer 3.0 Score</w:t>
            </w:r>
          </w:p>
        </w:tc>
      </w:tr>
      <w:tr>
        <w:tc>
          <w:tcPr>
            <w:tcW w:type="dxa" w:w="2592"/>
            <w:tcMar>
              <w:top w:w="100" w:type="dxa"/>
              <w:bottom w:w="100" w:type="dxa"/>
              <w:left w:w="140" w:type="dxa"/>
              <w:right w:w="140" w:type="dxa"/>
            </w:tcMar>
            <w:shd w:val="clear" w:color="auto" w:fill="F8FAFC"/>
          </w:tcPr>
          <w:p>
            <w:pPr>
              <w:spacing w:after="0"/>
            </w:pPr>
            <w:r>
              <w:rPr>
                <w:rFonts w:ascii="Arial" w:hAnsi="Arial"/>
                <w:b/>
                <w:color w:val="1E293B"/>
                <w:sz w:val="18"/>
              </w:rPr>
              <w:t>Metric Classification</w:t>
            </w:r>
          </w:p>
        </w:tc>
        <w:tc>
          <w:tcPr>
            <w:tcW w:type="dxa" w:w="3312"/>
            <w:tcMar>
              <w:top w:w="100" w:type="dxa"/>
              <w:bottom w:w="100" w:type="dxa"/>
              <w:left w:w="140" w:type="dxa"/>
              <w:right w:w="140" w:type="dxa"/>
            </w:tcMar>
            <w:shd w:val="clear" w:color="auto" w:fill="F8FAFC"/>
          </w:tcPr>
          <w:p>
            <w:pPr>
              <w:spacing w:after="0"/>
            </w:pPr>
            <w:r>
              <w:rPr>
                <w:rFonts w:ascii="Arial" w:hAnsi="Arial"/>
                <w:color w:val="334155"/>
                <w:sz w:val="18"/>
              </w:rPr>
              <w:t>LB (Lower is Better)</w:t>
            </w:r>
          </w:p>
        </w:tc>
        <w:tc>
          <w:tcPr>
            <w:tcW w:type="dxa" w:w="3456"/>
            <w:tcMar>
              <w:top w:w="100" w:type="dxa"/>
              <w:bottom w:w="100" w:type="dxa"/>
              <w:left w:w="140" w:type="dxa"/>
              <w:right w:w="140" w:type="dxa"/>
            </w:tcMar>
            <w:shd w:val="clear" w:color="auto" w:fill="F8FAFC"/>
          </w:tcPr>
          <w:p>
            <w:pPr>
              <w:spacing w:after="0"/>
            </w:pPr>
            <w:r>
              <w:rPr>
                <w:rFonts w:ascii="Arial" w:hAnsi="Arial"/>
                <w:color w:val="334155"/>
                <w:sz w:val="18"/>
              </w:rPr>
              <w:t>HB (Higher is Better)</w:t>
            </w:r>
          </w:p>
        </w:tc>
      </w:tr>
      <w:tr>
        <w:tc>
          <w:tcPr>
            <w:tcW w:type="dxa" w:w="2592"/>
            <w:tcMar>
              <w:top w:w="100" w:type="dxa"/>
              <w:bottom w:w="100" w:type="dxa"/>
              <w:left w:w="140" w:type="dxa"/>
              <w:right w:w="140" w:type="dxa"/>
            </w:tcMar>
            <w:shd w:val="clear" w:color="auto" w:fill="FFFFFF"/>
          </w:tcPr>
          <w:p>
            <w:pPr>
              <w:spacing w:after="0"/>
            </w:pPr>
            <w:r>
              <w:rPr>
                <w:rFonts w:ascii="Arial" w:hAnsi="Arial"/>
                <w:b/>
                <w:color w:val="1E293B"/>
                <w:sz w:val="18"/>
              </w:rPr>
              <w:t>Physical Quantity</w:t>
            </w:r>
          </w:p>
        </w:tc>
        <w:tc>
          <w:tcPr>
            <w:tcW w:type="dxa" w:w="3312"/>
            <w:tcMar>
              <w:top w:w="100" w:type="dxa"/>
              <w:bottom w:w="100" w:type="dxa"/>
              <w:left w:w="140" w:type="dxa"/>
              <w:right w:w="140" w:type="dxa"/>
            </w:tcMar>
            <w:shd w:val="clear" w:color="auto" w:fill="FFFFFF"/>
          </w:tcPr>
          <w:p>
            <w:pPr>
              <w:spacing w:after="0"/>
            </w:pPr>
            <w:r>
              <w:rPr>
                <w:rFonts w:ascii="Arial" w:hAnsi="Arial"/>
                <w:color w:val="334155"/>
                <w:sz w:val="18"/>
              </w:rPr>
              <w:t>Latency / Wait Time (Δt)</w:t>
            </w:r>
          </w:p>
        </w:tc>
        <w:tc>
          <w:tcPr>
            <w:tcW w:type="dxa" w:w="3456"/>
            <w:tcMar>
              <w:top w:w="100" w:type="dxa"/>
              <w:bottom w:w="100" w:type="dxa"/>
              <w:left w:w="140" w:type="dxa"/>
              <w:right w:w="140" w:type="dxa"/>
            </w:tcMar>
            <w:shd w:val="clear" w:color="auto" w:fill="FFFFFF"/>
          </w:tcPr>
          <w:p>
            <w:pPr>
              <w:spacing w:after="0"/>
            </w:pPr>
            <w:r>
              <w:rPr>
                <w:rFonts w:ascii="Arial" w:hAnsi="Arial"/>
                <w:color w:val="334155"/>
                <w:sz w:val="18"/>
              </w:rPr>
              <w:t>Throughput / Capacity (Rate of Work: 1/Δt)</w:t>
            </w:r>
          </w:p>
        </w:tc>
      </w:tr>
      <w:tr>
        <w:tc>
          <w:tcPr>
            <w:tcW w:type="dxa" w:w="2592"/>
            <w:tcMar>
              <w:top w:w="100" w:type="dxa"/>
              <w:bottom w:w="100" w:type="dxa"/>
              <w:left w:w="140" w:type="dxa"/>
              <w:right w:w="140" w:type="dxa"/>
            </w:tcMar>
            <w:shd w:val="clear" w:color="auto" w:fill="F8FAFC"/>
          </w:tcPr>
          <w:p>
            <w:pPr>
              <w:spacing w:after="0"/>
            </w:pPr>
            <w:r>
              <w:rPr>
                <w:rFonts w:ascii="Arial" w:hAnsi="Arial"/>
                <w:b/>
                <w:color w:val="1E293B"/>
                <w:sz w:val="18"/>
              </w:rPr>
              <w:t>Unit of Measure</w:t>
            </w:r>
          </w:p>
        </w:tc>
        <w:tc>
          <w:tcPr>
            <w:tcW w:type="dxa" w:w="3312"/>
            <w:tcMar>
              <w:top w:w="100" w:type="dxa"/>
              <w:bottom w:w="100" w:type="dxa"/>
              <w:left w:w="140" w:type="dxa"/>
              <w:right w:w="140" w:type="dxa"/>
            </w:tcMar>
            <w:shd w:val="clear" w:color="auto" w:fill="F8FAFC"/>
          </w:tcPr>
          <w:p>
            <w:pPr>
              <w:spacing w:after="0"/>
            </w:pPr>
            <w:r>
              <w:rPr>
                <w:rFonts w:ascii="Arial" w:hAnsi="Arial"/>
                <w:color w:val="334155"/>
                <w:sz w:val="18"/>
              </w:rPr>
              <w:t>Milliseconds (ms) or Seconds (s)</w:t>
            </w:r>
          </w:p>
        </w:tc>
        <w:tc>
          <w:tcPr>
            <w:tcW w:type="dxa" w:w="3456"/>
            <w:tcMar>
              <w:top w:w="100" w:type="dxa"/>
              <w:bottom w:w="100" w:type="dxa"/>
              <w:left w:w="140" w:type="dxa"/>
              <w:right w:w="140" w:type="dxa"/>
            </w:tcMar>
            <w:shd w:val="clear" w:color="auto" w:fill="F8FAFC"/>
          </w:tcPr>
          <w:p>
            <w:pPr>
              <w:spacing w:after="0"/>
            </w:pPr>
            <w:r>
              <w:rPr>
                <w:rFonts w:ascii="Arial" w:hAnsi="Arial"/>
                <w:color w:val="334155"/>
                <w:sz w:val="18"/>
              </w:rPr>
              <w:t>Score Points (Runs per Minute)</w:t>
            </w:r>
          </w:p>
        </w:tc>
      </w:tr>
      <w:tr>
        <w:tc>
          <w:tcPr>
            <w:tcW w:type="dxa" w:w="2592"/>
            <w:tcMar>
              <w:top w:w="100" w:type="dxa"/>
              <w:bottom w:w="100" w:type="dxa"/>
              <w:left w:w="140" w:type="dxa"/>
              <w:right w:w="140" w:type="dxa"/>
            </w:tcMar>
            <w:shd w:val="clear" w:color="auto" w:fill="FFFFFF"/>
          </w:tcPr>
          <w:p>
            <w:pPr>
              <w:spacing w:after="0"/>
            </w:pPr>
            <w:r>
              <w:rPr>
                <w:rFonts w:ascii="Arial" w:hAnsi="Arial"/>
                <w:b/>
                <w:color w:val="1E293B"/>
                <w:sz w:val="18"/>
              </w:rPr>
              <w:t>Mathematical Form</w:t>
            </w:r>
          </w:p>
        </w:tc>
        <w:tc>
          <w:tcPr>
            <w:tcW w:type="dxa" w:w="3312"/>
            <w:tcMar>
              <w:top w:w="100" w:type="dxa"/>
              <w:bottom w:w="100" w:type="dxa"/>
              <w:left w:w="140" w:type="dxa"/>
              <w:right w:w="140" w:type="dxa"/>
            </w:tcMar>
            <w:shd w:val="clear" w:color="auto" w:fill="FFFFFF"/>
          </w:tcPr>
          <w:p>
            <w:pPr>
              <w:spacing w:after="0"/>
            </w:pPr>
            <w:r>
              <w:rPr>
                <w:rFonts w:ascii="Arial" w:hAnsi="Arial"/>
                <w:color w:val="334155"/>
                <w:sz w:val="18"/>
              </w:rPr>
              <w:t>T_finish - T_start</w:t>
            </w:r>
          </w:p>
        </w:tc>
        <w:tc>
          <w:tcPr>
            <w:tcW w:type="dxa" w:w="3456"/>
            <w:tcMar>
              <w:top w:w="100" w:type="dxa"/>
              <w:bottom w:w="100" w:type="dxa"/>
              <w:left w:w="140" w:type="dxa"/>
              <w:right w:w="140" w:type="dxa"/>
            </w:tcMar>
            <w:shd w:val="clear" w:color="auto" w:fill="FFFFFF"/>
          </w:tcPr>
          <w:p>
            <w:pPr>
              <w:spacing w:after="0"/>
            </w:pPr>
            <w:r>
              <w:rPr>
                <w:rFonts w:ascii="Arial" w:hAnsi="Arial"/>
                <w:color w:val="334155"/>
                <w:sz w:val="18"/>
              </w:rPr>
              <w:t>K / Geometric Mean(t₁, t₂, ..., tₙ)</w:t>
            </w:r>
          </w:p>
        </w:tc>
      </w:tr>
      <w:tr>
        <w:tc>
          <w:tcPr>
            <w:tcW w:type="dxa" w:w="2592"/>
            <w:tcMar>
              <w:top w:w="100" w:type="dxa"/>
              <w:bottom w:w="100" w:type="dxa"/>
              <w:left w:w="140" w:type="dxa"/>
              <w:right w:w="140" w:type="dxa"/>
            </w:tcMar>
            <w:shd w:val="clear" w:color="auto" w:fill="F8FAFC"/>
          </w:tcPr>
          <w:p>
            <w:pPr>
              <w:spacing w:after="0"/>
            </w:pPr>
            <w:r>
              <w:rPr>
                <w:rFonts w:ascii="Arial" w:hAnsi="Arial"/>
                <w:b/>
                <w:color w:val="1E293B"/>
                <w:sz w:val="18"/>
              </w:rPr>
              <w:t>Scope &amp; Generality</w:t>
            </w:r>
          </w:p>
        </w:tc>
        <w:tc>
          <w:tcPr>
            <w:tcW w:type="dxa" w:w="3312"/>
            <w:tcMar>
              <w:top w:w="100" w:type="dxa"/>
              <w:bottom w:w="100" w:type="dxa"/>
              <w:left w:w="140" w:type="dxa"/>
              <w:right w:w="140" w:type="dxa"/>
            </w:tcMar>
            <w:shd w:val="clear" w:color="auto" w:fill="F8FAFC"/>
          </w:tcPr>
          <w:p>
            <w:pPr>
              <w:spacing w:after="0"/>
            </w:pPr>
            <w:r>
              <w:rPr>
                <w:rFonts w:ascii="Arial" w:hAnsi="Arial"/>
                <w:color w:val="334155"/>
                <w:sz w:val="18"/>
              </w:rPr>
              <w:t>Universal metric across all computing systems</w:t>
            </w:r>
          </w:p>
        </w:tc>
        <w:tc>
          <w:tcPr>
            <w:tcW w:type="dxa" w:w="3456"/>
            <w:tcMar>
              <w:top w:w="100" w:type="dxa"/>
              <w:bottom w:w="100" w:type="dxa"/>
              <w:left w:w="140" w:type="dxa"/>
              <w:right w:w="140" w:type="dxa"/>
            </w:tcMar>
            <w:shd w:val="clear" w:color="auto" w:fill="F8FAFC"/>
          </w:tcPr>
          <w:p>
            <w:pPr>
              <w:spacing w:after="0"/>
            </w:pPr>
            <w:r>
              <w:rPr>
                <w:rFonts w:ascii="Arial" w:hAnsi="Arial"/>
                <w:color w:val="334155"/>
                <w:sz w:val="18"/>
              </w:rPr>
              <w:t>Specific composite browser benchmark (BrowserBench)</w:t>
            </w:r>
          </w:p>
        </w:tc>
      </w:tr>
      <w:tr>
        <w:tc>
          <w:tcPr>
            <w:tcW w:type="dxa" w:w="2592"/>
            <w:tcMar>
              <w:top w:w="100" w:type="dxa"/>
              <w:bottom w:w="100" w:type="dxa"/>
              <w:left w:w="140" w:type="dxa"/>
              <w:right w:w="140" w:type="dxa"/>
            </w:tcMar>
            <w:shd w:val="clear" w:color="auto" w:fill="FFFFFF"/>
          </w:tcPr>
          <w:p>
            <w:pPr>
              <w:spacing w:after="0"/>
            </w:pPr>
            <w:r>
              <w:rPr>
                <w:rFonts w:ascii="Arial" w:hAnsi="Arial"/>
                <w:b/>
                <w:color w:val="1E293B"/>
                <w:sz w:val="18"/>
              </w:rPr>
              <w:t>Aggregation Rule</w:t>
            </w:r>
          </w:p>
        </w:tc>
        <w:tc>
          <w:tcPr>
            <w:tcW w:type="dxa" w:w="3312"/>
            <w:tcMar>
              <w:top w:w="100" w:type="dxa"/>
              <w:bottom w:w="100" w:type="dxa"/>
              <w:left w:w="140" w:type="dxa"/>
              <w:right w:w="140" w:type="dxa"/>
            </w:tcMar>
            <w:shd w:val="clear" w:color="auto" w:fill="FFFFFF"/>
          </w:tcPr>
          <w:p>
            <w:pPr>
              <w:spacing w:after="0"/>
            </w:pPr>
            <w:r>
              <w:rPr>
                <w:rFonts w:ascii="Arial" w:hAnsi="Arial"/>
                <w:color w:val="334155"/>
                <w:sz w:val="18"/>
              </w:rPr>
              <w:t>Arithmetic Mean, Median, Tail Percentiles (P90)</w:t>
            </w:r>
          </w:p>
        </w:tc>
        <w:tc>
          <w:tcPr>
            <w:tcW w:type="dxa" w:w="3456"/>
            <w:tcMar>
              <w:top w:w="100" w:type="dxa"/>
              <w:bottom w:w="100" w:type="dxa"/>
              <w:left w:w="140" w:type="dxa"/>
              <w:right w:w="140" w:type="dxa"/>
            </w:tcMar>
            <w:shd w:val="clear" w:color="auto" w:fill="FFFFFF"/>
          </w:tcPr>
          <w:p>
            <w:pPr>
              <w:spacing w:after="0"/>
            </w:pPr>
            <w:r>
              <w:rPr>
                <w:rFonts w:ascii="Arial" w:hAnsi="Arial"/>
                <w:color w:val="334155"/>
                <w:sz w:val="18"/>
              </w:rPr>
              <w:t>Geometric Mean across suites inverted to a rate</w:t>
            </w:r>
          </w:p>
        </w:tc>
      </w:tr>
      <w:tr>
        <w:tc>
          <w:tcPr>
            <w:tcW w:type="dxa" w:w="2592"/>
            <w:tcMar>
              <w:top w:w="100" w:type="dxa"/>
              <w:bottom w:w="100" w:type="dxa"/>
              <w:left w:w="140" w:type="dxa"/>
              <w:right w:w="140" w:type="dxa"/>
            </w:tcMar>
            <w:shd w:val="clear" w:color="auto" w:fill="F8FAFC"/>
          </w:tcPr>
          <w:p>
            <w:pPr>
              <w:spacing w:after="0"/>
            </w:pPr>
            <w:r>
              <w:rPr>
                <w:rFonts w:ascii="Arial" w:hAnsi="Arial"/>
                <w:b/>
                <w:color w:val="1E293B"/>
                <w:sz w:val="18"/>
              </w:rPr>
              <w:t>Ideal System Value</w:t>
            </w:r>
          </w:p>
        </w:tc>
        <w:tc>
          <w:tcPr>
            <w:tcW w:type="dxa" w:w="3312"/>
            <w:tcMar>
              <w:top w:w="100" w:type="dxa"/>
              <w:bottom w:w="100" w:type="dxa"/>
              <w:left w:w="140" w:type="dxa"/>
              <w:right w:w="140" w:type="dxa"/>
            </w:tcMar>
            <w:shd w:val="clear" w:color="auto" w:fill="F8FAFC"/>
          </w:tcPr>
          <w:p>
            <w:pPr>
              <w:spacing w:after="0"/>
            </w:pPr>
            <w:r>
              <w:rPr>
                <w:rFonts w:ascii="Arial" w:hAnsi="Arial"/>
                <w:color w:val="334155"/>
                <w:sz w:val="18"/>
              </w:rPr>
              <w:t>Approaches 0 ms</w:t>
            </w:r>
          </w:p>
        </w:tc>
        <w:tc>
          <w:tcPr>
            <w:tcW w:type="dxa" w:w="3456"/>
            <w:tcMar>
              <w:top w:w="100" w:type="dxa"/>
              <w:bottom w:w="100" w:type="dxa"/>
              <w:left w:w="140" w:type="dxa"/>
              <w:right w:w="140" w:type="dxa"/>
            </w:tcMar>
            <w:shd w:val="clear" w:color="auto" w:fill="F8FAFC"/>
          </w:tcPr>
          <w:p>
            <w:pPr>
              <w:spacing w:after="0"/>
            </w:pPr>
            <w:r>
              <w:rPr>
                <w:rFonts w:ascii="Arial" w:hAnsi="Arial"/>
                <w:color w:val="334155"/>
                <w:sz w:val="18"/>
              </w:rPr>
              <w:t>Approaches +∞</w:t>
            </w:r>
          </w:p>
        </w:tc>
      </w:tr>
      <w:tr>
        <w:tc>
          <w:tcPr>
            <w:tcW w:type="dxa" w:w="2592"/>
            <w:tcMar>
              <w:top w:w="100" w:type="dxa"/>
              <w:bottom w:w="100" w:type="dxa"/>
              <w:left w:w="140" w:type="dxa"/>
              <w:right w:w="140" w:type="dxa"/>
            </w:tcMar>
            <w:shd w:val="clear" w:color="auto" w:fill="FFFFFF"/>
          </w:tcPr>
          <w:p>
            <w:pPr>
              <w:spacing w:after="0"/>
            </w:pPr>
            <w:r>
              <w:rPr>
                <w:rFonts w:ascii="Arial" w:hAnsi="Arial"/>
                <w:b/>
                <w:color w:val="1E293B"/>
                <w:sz w:val="18"/>
              </w:rPr>
              <w:t>System Interpretation</w:t>
            </w:r>
          </w:p>
        </w:tc>
        <w:tc>
          <w:tcPr>
            <w:tcW w:type="dxa" w:w="3312"/>
            <w:tcMar>
              <w:top w:w="100" w:type="dxa"/>
              <w:bottom w:w="100" w:type="dxa"/>
              <w:left w:w="140" w:type="dxa"/>
              <w:right w:w="140" w:type="dxa"/>
            </w:tcMar>
            <w:shd w:val="clear" w:color="auto" w:fill="FFFFFF"/>
          </w:tcPr>
          <w:p>
            <w:pPr>
              <w:spacing w:after="0"/>
            </w:pPr>
            <w:r>
              <w:rPr>
                <w:rFonts w:ascii="Arial" w:hAnsi="Arial"/>
                <w:color w:val="334155"/>
                <w:sz w:val="18"/>
              </w:rPr>
              <w:t>'How long must the user wait?'</w:t>
            </w:r>
          </w:p>
        </w:tc>
        <w:tc>
          <w:tcPr>
            <w:tcW w:type="dxa" w:w="3456"/>
            <w:tcMar>
              <w:top w:w="100" w:type="dxa"/>
              <w:bottom w:w="100" w:type="dxa"/>
              <w:left w:w="140" w:type="dxa"/>
              <w:right w:w="140" w:type="dxa"/>
            </w:tcMar>
            <w:shd w:val="clear" w:color="auto" w:fill="FFFFFF"/>
          </w:tcPr>
          <w:p>
            <w:pPr>
              <w:spacing w:after="0"/>
            </w:pPr>
            <w:r>
              <w:rPr>
                <w:rFonts w:ascii="Arial" w:hAnsi="Arial"/>
                <w:color w:val="334155"/>
                <w:sz w:val="18"/>
              </w:rPr>
              <w:t>'How many interactive tasks can the browser handle per minute?'</w:t>
            </w:r>
          </w:p>
        </w:tc>
      </w:tr>
    </w:tbl>
    <w:p>
      <w:pPr>
        <w:spacing w:after="240"/>
      </w:pPr>
    </w:p>
    <w:p>
      <w:pPr>
        <w:pStyle w:val="Heading1"/>
        <w:spacing w:before="320" w:after="160"/>
      </w:pPr>
      <w:r>
        <w:t>4. Queueing Theory, Little's Law, and Architectural Nuances</w:t>
      </w:r>
    </w:p>
    <w:p>
      <w:pPr>
        <w:pStyle w:val="Heading2"/>
      </w:pPr>
      <w:r>
        <w:t>4.1 Is Speedometer the Mathematical Inverse of Response Time?</w:t>
      </w:r>
    </w:p>
    <w:p>
      <w:r>
        <w:t>Conceptually, yes—it behaves as an inverse of response time, just as throughput and response time are inversely related in queueing theory. For a single-threaded serial execution stream (such as the JavaScript main event loop executing synchronous tasks one by one), Little's Law (N = X · R) with concurrency N = 1 gives:</w:t>
        <w:br/>
      </w:r>
    </w:p>
    <w:p>
      <w:pPr>
        <w:ind w:left="576"/>
      </w:pPr>
      <w:r>
        <w:rPr>
          <w:rFonts w:ascii="Consolas" w:hAnsi="Consolas"/>
          <w:b/>
          <w:color w:val="0F172A"/>
        </w:rPr>
        <w:t>Throughput X = 1 / R</w:t>
      </w:r>
    </w:p>
    <w:p>
      <w:r>
        <w:t>However, several critical nuances must be noted when citing this formally:</w:t>
        <w:br/>
      </w:r>
      <w:r>
        <w:rPr>
          <w:b/>
        </w:rPr>
        <w:t xml:space="preserve">1. Not a Single Inversion: </w:t>
      </w:r>
      <w:r>
        <w:t>It is not the pure reciprocal of a single response time measurement, but an aggregation over thousands of timed micro-operations across disparate web frameworks.</w:t>
        <w:br/>
      </w:r>
      <w:r>
        <w:rPr>
          <w:b/>
        </w:rPr>
        <w:t xml:space="preserve">2. Geometric Mean Normalization: </w:t>
      </w:r>
      <w:r>
        <w:t>Speedometer averages sub-benchmarks using the Geometric Mean (as recommended by Raj Jain in Chapter 11.5 for ratios and rates) to prevent long tasks from dominating the final score.</w:t>
        <w:br/>
      </w:r>
      <w:r>
        <w:rPr>
          <w:b/>
        </w:rPr>
        <w:t xml:space="preserve">3. Raw Observation vs. Constructed Index: </w:t>
      </w:r>
      <w:r>
        <w:t>Response time (Jain) is directly observed; Speedometer is a constructed benchmark score normalized for cross-browser comparability.</w:t>
      </w:r>
    </w:p>
    <w:p>
      <w:pPr>
        <w:pStyle w:val="Heading2"/>
      </w:pPr>
      <w:r>
        <w:t>4.2 Does Speedometer Measure Throughput?</w:t>
      </w:r>
    </w:p>
    <w:p>
      <w:r>
        <w:t>Yes—structurally and mechanically, Speedometer is a throughput measurement (the count of completed test iterations completed in 60 seconds). Interpretively, it serves as a standardized proxy for web interaction responsiveness, because each run consists of fixed-size units of user-facing work.</w:t>
      </w:r>
    </w:p>
    <w:p>
      <w:pPr>
        <w:pStyle w:val="Heading1"/>
        <w:spacing w:before="320" w:after="160"/>
      </w:pPr>
      <w:r>
        <w:t>5. Academic Reporting Guidelines</w:t>
      </w:r>
    </w:p>
    <w:p>
      <w:r>
        <w:t>When documenting browser benchmark findings in papers or reports:</w:t>
        <w:br/>
      </w:r>
      <w:r>
        <w:rPr>
          <w:b/>
        </w:rPr>
        <w:t xml:space="preserve">• Incorrect Formulation: </w:t>
      </w:r>
      <w:r>
        <w:t>'Speedometer measures the response time of the browser.'</w:t>
        <w:br/>
      </w:r>
      <w:r>
        <w:rPr>
          <w:b/>
        </w:rPr>
        <w:t xml:space="preserve">• Correct Academic Formulation: </w:t>
      </w:r>
      <w:r>
        <w:t>'Speedometer 3.0 measures interactive workload throughput (expressed in runs per minute), which acts as a derived, composite proxy for user-perceived interaction responsiveness (the reciprocal of task response times).'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