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Arial" w:cs="Arial" w:eastAsia="Arial" w:hAnsi="Arial"/>
          <w:b/>
          <w:bCs/>
          <w:color w:val="1F2A44"/>
          <w:sz w:val="36"/>
          <w:szCs w:val="36"/>
        </w:rPr>
        <w:t xml:space="preserve">Wisconsin Divorce Lawyers: Understand Your Options and Next Steps</w:t>
      </w:r>
    </w:p>
    <w:p>
      <w:pPr>
        <w:widowControl/>
        <w:spacing w:after="120" w:before="120" w:line="300"/>
      </w:pPr>
      <w:r>
        <w:rPr>
          <w:rFonts w:ascii="Arial" w:cs="Arial" w:eastAsia="Arial" w:hAnsi="Arial"/>
          <w:b w:val="false"/>
          <w:bCs w:val="false"/>
          <w:i w:val="false"/>
          <w:iCs w:val="false"/>
          <w:sz w:val="24"/>
          <w:szCs w:val="24"/>
        </w:rPr>
        <w:t xml:space="preserve">If you are considering divorce in Wisconsin, Sterling Lawyers can help you identify the decisions ahead and choose a practical path forward. We offer fixed-fee service options so the work and fee structure are clear before representation begins.</w:t>
      </w:r>
    </w:p>
    <w:p>
      <w:pPr>
        <w:widowControl/>
        <w:spacing w:after="120" w:before="120" w:line="300"/>
      </w:pPr>
      <w:r>
        <w:rPr>
          <w:rFonts w:ascii="Arial" w:cs="Arial" w:eastAsia="Arial" w:hAnsi="Arial"/>
          <w:b w:val="false"/>
          <w:bCs w:val="false"/>
          <w:i w:val="false"/>
          <w:iCs w:val="false"/>
          <w:sz w:val="24"/>
          <w:szCs w:val="24"/>
        </w:rPr>
        <w:t xml:space="preserve">Divorce may reshape your finances, parenting arrangements, housing, and daily routines. We help you separate urgent concerns from longer-term decisions, understand the Wisconsin rules, and prepare for negotiation or court when necessary.</w:t>
      </w:r>
    </w:p>
    <w:p>
      <w:pPr>
        <w:pStyle w:val="Heading2"/>
        <w:keepNext/>
      </w:pPr>
      <w:r>
        <w:rPr>
          <w:rFonts w:ascii="Arial" w:cs="Arial" w:eastAsia="Arial" w:hAnsi="Arial"/>
          <w:b/>
          <w:bCs/>
          <w:color w:val="1F2A44"/>
          <w:sz w:val="30"/>
          <w:szCs w:val="30"/>
        </w:rPr>
        <w:t xml:space="preserve">Choose the Divorce Path and Level of Help That Fit Your Case</w:t>
      </w:r>
    </w:p>
    <w:p>
      <w:pPr>
        <w:widowControl/>
        <w:spacing w:after="120" w:before="120" w:line="300"/>
      </w:pPr>
      <w:r>
        <w:rPr>
          <w:rFonts w:ascii="Arial" w:cs="Arial" w:eastAsia="Arial" w:hAnsi="Arial"/>
          <w:b w:val="false"/>
          <w:bCs w:val="false"/>
          <w:i w:val="false"/>
          <w:iCs w:val="false"/>
          <w:sz w:val="24"/>
          <w:szCs w:val="24"/>
        </w:rPr>
        <w:t xml:space="preserve">Sterling focuses on family law and offers fixed-fee choices for different levels of help. Current Wisconsin options include document review, mediation, Legal Coaching, contested representation, and a Legal Team for broader support.</w:t>
      </w:r>
      <w:hyperlink w:history="1" r:id="rId-gzbrvvaqqdyw5aopdq1a">
        <w:r>
          <w:rPr>
            <w:rFonts w:ascii="Arial" w:cs="Arial" w:eastAsia="Arial" w:hAnsi="Arial"/>
            <w:b w:val="false"/>
            <w:bCs w:val="false"/>
            <w:i w:val="false"/>
            <w:iCs w:val="false"/>
            <w:color w:val="666666"/>
            <w:sz w:val="18"/>
            <w:szCs w:val="18"/>
            <w:vertAlign w:val="superscript"/>
          </w:rPr>
          <w:t xml:space="preserve">[1]</w:t>
        </w:r>
      </w:hyperlink>
    </w:p>
    <w:p>
      <w:pPr>
        <w:widowControl/>
        <w:spacing w:after="120" w:before="120" w:line="300"/>
      </w:pPr>
      <w:r>
        <w:rPr>
          <w:rFonts w:ascii="Arial" w:cs="Arial" w:eastAsia="Arial" w:hAnsi="Arial"/>
          <w:b w:val="false"/>
          <w:bCs w:val="false"/>
          <w:i w:val="false"/>
          <w:iCs w:val="false"/>
          <w:sz w:val="24"/>
          <w:szCs w:val="24"/>
        </w:rPr>
        <w:t xml:space="preserve">Legal Coaching can provide targeted guidance when you plan to handle selected work yourself. Broader representation can cover document preparation, negotiation, evidence planning, hearings, and other work defined in your engagement.</w:t>
      </w:r>
    </w:p>
    <w:p>
      <w:pPr>
        <w:widowControl/>
        <w:spacing w:after="120" w:before="120" w:line="300"/>
      </w:pPr>
      <w:r>
        <w:rPr>
          <w:rFonts w:ascii="Arial" w:cs="Arial" w:eastAsia="Arial" w:hAnsi="Arial"/>
          <w:b w:val="false"/>
          <w:bCs w:val="false"/>
          <w:i w:val="false"/>
          <w:iCs w:val="false"/>
          <w:sz w:val="24"/>
          <w:szCs w:val="24"/>
        </w:rPr>
        <w:t xml:space="preserve">You can begin with a focused scope and discuss broader support if the case changes. Before work starts, ask what Sterling will handle, what remains your responsibility, and how the fee responds to a change in scope.</w:t>
      </w:r>
    </w:p>
    <w:p>
      <w:pPr>
        <w:pStyle w:val="Heading3"/>
        <w:keepNext/>
      </w:pPr>
      <w:r>
        <w:rPr>
          <w:rFonts w:ascii="Arial" w:cs="Arial" w:eastAsia="Arial" w:hAnsi="Arial"/>
          <w:b/>
          <w:bCs/>
          <w:color w:val="2E5090"/>
          <w:sz w:val="26"/>
          <w:szCs w:val="26"/>
        </w:rPr>
        <w:t xml:space="preserve">Uncontested divorce</w:t>
      </w:r>
    </w:p>
    <w:p>
      <w:pPr>
        <w:widowControl/>
        <w:spacing w:after="120" w:before="120" w:line="300"/>
      </w:pPr>
      <w:r>
        <w:rPr>
          <w:rFonts w:ascii="Arial" w:cs="Arial" w:eastAsia="Arial" w:hAnsi="Arial"/>
          <w:b w:val="false"/>
          <w:bCs w:val="false"/>
          <w:i w:val="false"/>
          <w:iCs w:val="false"/>
          <w:sz w:val="24"/>
          <w:szCs w:val="24"/>
        </w:rPr>
        <w:t xml:space="preserve">If you and your spouse have resolved every issue, an </w:t>
      </w:r>
      <w:hyperlink w:history="1" r:id="rIda6evsfyxg9oyltk90kcfv">
        <w:r>
          <w:rPr>
            <w:rFonts w:ascii="Arial" w:cs="Arial" w:eastAsia="Arial" w:hAnsi="Arial"/>
            <w:b/>
            <w:bCs/>
            <w:i w:val="false"/>
            <w:iCs w:val="false"/>
            <w:color w:val="2E5090"/>
            <w:sz w:val="24"/>
            <w:szCs w:val="24"/>
            <w:u w:val="single" w:color="2E5090"/>
          </w:rPr>
          <w:t xml:space="preserve">uncontested divorce pathway</w:t>
        </w:r>
      </w:hyperlink>
      <w:r>
        <w:rPr>
          <w:rFonts w:ascii="Arial" w:cs="Arial" w:eastAsia="Arial" w:hAnsi="Arial"/>
          <w:b w:val="false"/>
          <w:bCs w:val="false"/>
          <w:i w:val="false"/>
          <w:iCs w:val="false"/>
          <w:sz w:val="24"/>
          <w:szCs w:val="24"/>
        </w:rPr>
        <w:t xml:space="preserve"> can focus the legal work on complete terms, accurate documents, and court approval. We can review the agreement for gaps and help translate decisions into usable language.</w:t>
      </w:r>
    </w:p>
    <w:p>
      <w:pPr>
        <w:pStyle w:val="Heading3"/>
        <w:keepNext/>
      </w:pPr>
      <w:r>
        <w:rPr>
          <w:rFonts w:ascii="Arial" w:cs="Arial" w:eastAsia="Arial" w:hAnsi="Arial"/>
          <w:b/>
          <w:bCs/>
          <w:color w:val="2E5090"/>
          <w:sz w:val="26"/>
          <w:szCs w:val="26"/>
        </w:rPr>
        <w:t xml:space="preserve">Divorce mediation</w:t>
      </w:r>
    </w:p>
    <w:p>
      <w:pPr>
        <w:widowControl/>
        <w:spacing w:after="120" w:before="120" w:line="300"/>
      </w:pPr>
      <w:r>
        <w:rPr>
          <w:rFonts w:ascii="Arial" w:cs="Arial" w:eastAsia="Arial" w:hAnsi="Arial"/>
          <w:b w:val="false"/>
          <w:bCs w:val="false"/>
          <w:i w:val="false"/>
          <w:iCs w:val="false"/>
          <w:sz w:val="24"/>
          <w:szCs w:val="24"/>
        </w:rPr>
        <w:t xml:space="preserve">In Sterling's </w:t>
      </w:r>
      <w:hyperlink w:history="1" r:id="rIddbpphqyeltkc4hp7ylxb9">
        <w:r>
          <w:rPr>
            <w:rFonts w:ascii="Arial" w:cs="Arial" w:eastAsia="Arial" w:hAnsi="Arial"/>
            <w:b/>
            <w:bCs/>
            <w:i w:val="false"/>
            <w:iCs w:val="false"/>
            <w:color w:val="2E5090"/>
            <w:sz w:val="24"/>
            <w:szCs w:val="24"/>
            <w:u w:val="single" w:color="2E5090"/>
          </w:rPr>
          <w:t xml:space="preserve">divorce mediation process</w:t>
        </w:r>
      </w:hyperlink>
      <w:r>
        <w:rPr>
          <w:rFonts w:ascii="Arial" w:cs="Arial" w:eastAsia="Arial" w:hAnsi="Arial"/>
          <w:b w:val="false"/>
          <w:bCs w:val="false"/>
          <w:i w:val="false"/>
          <w:iCs w:val="false"/>
          <w:sz w:val="24"/>
          <w:szCs w:val="24"/>
        </w:rPr>
        <w:t xml:space="preserve">, a neutral lawyer-mediator helps both spouses work toward terms without advocating for either spouse. Wisconsin's lawyer-neutral rule requires clarity about that nonrepresentative role.</w:t>
      </w:r>
      <w:hyperlink w:history="1" r:id="rIdgzki1-thpdjnla-s1wi-m">
        <w:r>
          <w:rPr>
            <w:rFonts w:ascii="Arial" w:cs="Arial" w:eastAsia="Arial" w:hAnsi="Arial"/>
            <w:b w:val="false"/>
            <w:bCs w:val="false"/>
            <w:i w:val="false"/>
            <w:iCs w:val="false"/>
            <w:color w:val="666666"/>
            <w:sz w:val="18"/>
            <w:szCs w:val="18"/>
            <w:vertAlign w:val="superscript"/>
          </w:rPr>
          <w:t xml:space="preserve">[2]</w:t>
        </w:r>
      </w:hyperlink>
    </w:p>
    <w:p>
      <w:pPr>
        <w:pStyle w:val="Heading3"/>
        <w:keepNext/>
      </w:pPr>
      <w:r>
        <w:rPr>
          <w:rFonts w:ascii="Arial" w:cs="Arial" w:eastAsia="Arial" w:hAnsi="Arial"/>
          <w:b/>
          <w:bCs/>
          <w:color w:val="2E5090"/>
          <w:sz w:val="26"/>
          <w:szCs w:val="26"/>
        </w:rPr>
        <w:t xml:space="preserve">Collaborative divorce</w:t>
      </w:r>
    </w:p>
    <w:p>
      <w:pPr>
        <w:widowControl/>
        <w:spacing w:after="120" w:before="120" w:line="300"/>
      </w:pPr>
      <w:r>
        <w:rPr>
          <w:rFonts w:ascii="Arial" w:cs="Arial" w:eastAsia="Arial" w:hAnsi="Arial"/>
          <w:b w:val="false"/>
          <w:bCs w:val="false"/>
          <w:i w:val="false"/>
          <w:iCs w:val="false"/>
          <w:sz w:val="24"/>
          <w:szCs w:val="24"/>
        </w:rPr>
        <w:t xml:space="preserve">Sterling's </w:t>
      </w:r>
      <w:hyperlink w:history="1" r:id="rIdxaurkxticaeos3lwfomlm">
        <w:r>
          <w:rPr>
            <w:rFonts w:ascii="Arial" w:cs="Arial" w:eastAsia="Arial" w:hAnsi="Arial"/>
            <w:b/>
            <w:bCs/>
            <w:i w:val="false"/>
            <w:iCs w:val="false"/>
            <w:color w:val="2E5090"/>
            <w:sz w:val="24"/>
            <w:szCs w:val="24"/>
            <w:u w:val="single" w:color="2E5090"/>
          </w:rPr>
          <w:t xml:space="preserve">collaborative divorce service</w:t>
        </w:r>
      </w:hyperlink>
      <w:r>
        <w:rPr>
          <w:rFonts w:ascii="Arial" w:cs="Arial" w:eastAsia="Arial" w:hAnsi="Arial"/>
          <w:b w:val="false"/>
          <w:bCs w:val="false"/>
          <w:i w:val="false"/>
          <w:iCs w:val="false"/>
          <w:sz w:val="24"/>
          <w:szCs w:val="24"/>
        </w:rPr>
        <w:t xml:space="preserve"> uses separate collaborative attorneys and non-adversarial negotiation. Unlike a neutral mediator, your collaborative attorney represents you while the participants work toward a negotiated settlement.</w:t>
      </w:r>
    </w:p>
    <w:p>
      <w:pPr>
        <w:pStyle w:val="Heading3"/>
        <w:keepNext/>
      </w:pPr>
      <w:r>
        <w:rPr>
          <w:rFonts w:ascii="Arial" w:cs="Arial" w:eastAsia="Arial" w:hAnsi="Arial"/>
          <w:b/>
          <w:bCs/>
          <w:color w:val="2E5090"/>
          <w:sz w:val="26"/>
          <w:szCs w:val="26"/>
        </w:rPr>
        <w:t xml:space="preserve">Contested divorce</w:t>
      </w:r>
    </w:p>
    <w:p>
      <w:pPr>
        <w:widowControl/>
        <w:spacing w:after="120" w:before="120" w:line="300"/>
      </w:pPr>
      <w:r>
        <w:rPr>
          <w:rFonts w:ascii="Arial" w:cs="Arial" w:eastAsia="Arial" w:hAnsi="Arial"/>
          <w:b w:val="false"/>
          <w:bCs w:val="false"/>
          <w:i w:val="false"/>
          <w:iCs w:val="false"/>
          <w:sz w:val="24"/>
          <w:szCs w:val="24"/>
        </w:rPr>
        <w:t xml:space="preserve">When material issues remain unresolved, a </w:t>
      </w:r>
      <w:hyperlink w:history="1" r:id="rIdgnqbshxayvd__rwatiblg">
        <w:r>
          <w:rPr>
            <w:rFonts w:ascii="Arial" w:cs="Arial" w:eastAsia="Arial" w:hAnsi="Arial"/>
            <w:b/>
            <w:bCs/>
            <w:i w:val="false"/>
            <w:iCs w:val="false"/>
            <w:color w:val="2E5090"/>
            <w:sz w:val="24"/>
            <w:szCs w:val="24"/>
            <w:u w:val="single" w:color="2E5090"/>
          </w:rPr>
          <w:t xml:space="preserve">contested divorce process</w:t>
        </w:r>
      </w:hyperlink>
      <w:r>
        <w:rPr>
          <w:rFonts w:ascii="Arial" w:cs="Arial" w:eastAsia="Arial" w:hAnsi="Arial"/>
          <w:b w:val="false"/>
          <w:bCs w:val="false"/>
          <w:i w:val="false"/>
          <w:iCs w:val="false"/>
          <w:sz w:val="24"/>
          <w:szCs w:val="24"/>
        </w:rPr>
        <w:t xml:space="preserve"> may require negotiation, formal information exchange, hearings, or trial preparation. We help organize evidence, evaluate proposals, and keep the legal strategy tied to your priorities.</w:t>
      </w:r>
    </w:p>
    <w:p>
      <w:pPr>
        <w:pStyle w:val="Heading3"/>
        <w:keepNext/>
      </w:pPr>
      <w:r>
        <w:rPr>
          <w:rFonts w:ascii="Arial" w:cs="Arial" w:eastAsia="Arial" w:hAnsi="Arial"/>
          <w:b/>
          <w:bCs/>
          <w:color w:val="2E5090"/>
          <w:sz w:val="26"/>
          <w:szCs w:val="26"/>
        </w:rPr>
        <w:t xml:space="preserve">High-conflict divorce guidance</w:t>
      </w:r>
    </w:p>
    <w:p>
      <w:pPr>
        <w:widowControl/>
        <w:spacing w:after="120" w:before="120" w:line="300"/>
      </w:pPr>
      <w:r>
        <w:rPr>
          <w:rFonts w:ascii="Arial" w:cs="Arial" w:eastAsia="Arial" w:hAnsi="Arial"/>
          <w:b w:val="false"/>
          <w:bCs w:val="false"/>
          <w:i w:val="false"/>
          <w:iCs w:val="false"/>
          <w:sz w:val="24"/>
          <w:szCs w:val="24"/>
        </w:rPr>
        <w:t xml:space="preserve">Repeat motions, escalating allegations, unsafe communication, or financial misconduct may require a more controlled case strategy. Our </w:t>
      </w:r>
      <w:hyperlink w:history="1" r:id="rIdl3grdjn_c21jzbtl1pqub">
        <w:r>
          <w:rPr>
            <w:rFonts w:ascii="Arial" w:cs="Arial" w:eastAsia="Arial" w:hAnsi="Arial"/>
            <w:b/>
            <w:bCs/>
            <w:i w:val="false"/>
            <w:iCs w:val="false"/>
            <w:color w:val="2E5090"/>
            <w:sz w:val="24"/>
            <w:szCs w:val="24"/>
            <w:u w:val="single" w:color="2E5090"/>
          </w:rPr>
          <w:t xml:space="preserve">high-conflict divorce guidance</w:t>
        </w:r>
      </w:hyperlink>
      <w:r>
        <w:rPr>
          <w:rFonts w:ascii="Arial" w:cs="Arial" w:eastAsia="Arial" w:hAnsi="Arial"/>
          <w:b w:val="false"/>
          <w:bCs w:val="false"/>
          <w:i w:val="false"/>
          <w:iCs w:val="false"/>
          <w:sz w:val="24"/>
          <w:szCs w:val="24"/>
        </w:rPr>
        <w:t xml:space="preserve"> explains how to prepare when conflict itself is shaping decisions. Tell us about safety or evidence concerns at the first conversation.</w:t>
      </w:r>
    </w:p>
    <w:p>
      <w:pPr>
        <w:pStyle w:val="Heading3"/>
        <w:keepNext/>
      </w:pPr>
      <w:r>
        <w:rPr>
          <w:rFonts w:ascii="Arial" w:cs="Arial" w:eastAsia="Arial" w:hAnsi="Arial"/>
          <w:b/>
          <w:bCs/>
          <w:color w:val="2E5090"/>
          <w:sz w:val="26"/>
          <w:szCs w:val="26"/>
        </w:rPr>
        <w:t xml:space="preserve">Legal separation</w:t>
      </w:r>
    </w:p>
    <w:p>
      <w:pPr>
        <w:widowControl/>
        <w:spacing w:after="120" w:before="120" w:line="300"/>
      </w:pPr>
      <w:r>
        <w:rPr>
          <w:rFonts w:ascii="Arial" w:cs="Arial" w:eastAsia="Arial" w:hAnsi="Arial"/>
          <w:b w:val="false"/>
          <w:bCs w:val="false"/>
          <w:i w:val="false"/>
          <w:iCs w:val="false"/>
          <w:sz w:val="24"/>
          <w:szCs w:val="24"/>
        </w:rPr>
        <w:t xml:space="preserve">A Wisconsin </w:t>
      </w:r>
      <w:hyperlink w:history="1" r:id="rIdip3gre7sogcfoqudnhcep">
        <w:r>
          <w:rPr>
            <w:rFonts w:ascii="Arial" w:cs="Arial" w:eastAsia="Arial" w:hAnsi="Arial"/>
            <w:b/>
            <w:bCs/>
            <w:i w:val="false"/>
            <w:iCs w:val="false"/>
            <w:color w:val="2E5090"/>
            <w:sz w:val="24"/>
            <w:szCs w:val="24"/>
            <w:u w:val="single" w:color="2E5090"/>
          </w:rPr>
          <w:t xml:space="preserve">legal separation</w:t>
        </w:r>
      </w:hyperlink>
      <w:r>
        <w:rPr>
          <w:rFonts w:ascii="Arial" w:cs="Arial" w:eastAsia="Arial" w:hAnsi="Arial"/>
          <w:b w:val="false"/>
          <w:bCs w:val="false"/>
          <w:i w:val="false"/>
          <w:iCs w:val="false"/>
          <w:sz w:val="24"/>
          <w:szCs w:val="24"/>
        </w:rPr>
        <w:t xml:space="preserve"> does not end the marriage</w:t>
      </w:r>
      <w:hyperlink w:history="1" r:id="rIdcf47r_l84j0t3d2y6wgfq">
        <w:r>
          <w:rPr>
            <w:rFonts w:ascii="Arial" w:cs="Arial" w:eastAsia="Arial" w:hAnsi="Arial"/>
            <w:b w:val="false"/>
            <w:bCs w:val="false"/>
            <w:i w:val="false"/>
            <w:iCs w:val="false"/>
            <w:color w:val="666666"/>
            <w:sz w:val="18"/>
            <w:szCs w:val="18"/>
            <w:vertAlign w:val="superscript"/>
          </w:rPr>
          <w:t xml:space="preserve">[3]</w:t>
        </w:r>
      </w:hyperlink>
      <w:r>
        <w:rPr>
          <w:rFonts w:ascii="Arial" w:cs="Arial" w:eastAsia="Arial" w:hAnsi="Arial"/>
          <w:b w:val="false"/>
          <w:bCs w:val="false"/>
          <w:i w:val="false"/>
          <w:iCs w:val="false"/>
          <w:sz w:val="24"/>
          <w:szCs w:val="24"/>
        </w:rPr>
        <w:t xml:space="preserve">. When those issues apply, its judgment can address property division, maintenance, legal custody, physical placement, and child support</w:t>
      </w:r>
      <w:hyperlink w:history="1" r:id="rId1cvitnl0z6kx9tgy-4vdf">
        <w:r>
          <w:rPr>
            <w:rFonts w:ascii="Arial" w:cs="Arial" w:eastAsia="Arial" w:hAnsi="Arial"/>
            <w:b w:val="false"/>
            <w:bCs w:val="false"/>
            <w:i w:val="false"/>
            <w:iCs w:val="false"/>
            <w:color w:val="666666"/>
            <w:sz w:val="18"/>
            <w:szCs w:val="18"/>
            <w:vertAlign w:val="superscript"/>
          </w:rPr>
          <w:t xml:space="preserve">[4]</w:t>
        </w:r>
      </w:hyperlink>
      <w:r>
        <w:rPr>
          <w:rFonts w:ascii="Arial" w:cs="Arial" w:eastAsia="Arial" w:hAnsi="Arial"/>
          <w:b w:val="false"/>
          <w:bCs w:val="false"/>
          <w:i w:val="false"/>
          <w:iCs w:val="false"/>
          <w:sz w:val="24"/>
          <w:szCs w:val="24"/>
        </w:rPr>
        <w:t xml:space="preserve">. We can help you compare that legal effect with your actual goals.</w:t>
      </w:r>
    </w:p>
    <w:p>
      <w:pPr>
        <w:pStyle w:val="Heading2"/>
        <w:keepNext/>
      </w:pPr>
      <w:r>
        <w:rPr>
          <w:rFonts w:ascii="Arial" w:cs="Arial" w:eastAsia="Arial" w:hAnsi="Arial"/>
          <w:b/>
          <w:bCs/>
          <w:color w:val="1F2A44"/>
          <w:sz w:val="30"/>
          <w:szCs w:val="30"/>
        </w:rPr>
        <w:t xml:space="preserve">Start With the Wisconsin Divorce Requirements</w:t>
      </w:r>
    </w:p>
    <w:p>
      <w:pPr>
        <w:widowControl/>
        <w:spacing w:after="120" w:before="120" w:line="300"/>
      </w:pPr>
      <w:r>
        <w:rPr>
          <w:rFonts w:ascii="Arial" w:cs="Arial" w:eastAsia="Arial" w:hAnsi="Arial"/>
          <w:b w:val="false"/>
          <w:bCs w:val="false"/>
          <w:i w:val="false"/>
          <w:iCs w:val="false"/>
          <w:sz w:val="24"/>
          <w:szCs w:val="24"/>
        </w:rPr>
        <w:t xml:space="preserve">At least one spouse must satisfy both Wisconsin and county residence requirements before the case begins. The statute requires six months in Wisconsin and 30 days in the filing county immediately before filing.</w:t>
      </w:r>
      <w:hyperlink w:history="1" r:id="rIdsnv58tex0e7yqspye19wl">
        <w:r>
          <w:rPr>
            <w:rFonts w:ascii="Arial" w:cs="Arial" w:eastAsia="Arial" w:hAnsi="Arial"/>
            <w:b w:val="false"/>
            <w:bCs w:val="false"/>
            <w:i w:val="false"/>
            <w:iCs w:val="false"/>
            <w:color w:val="666666"/>
            <w:sz w:val="18"/>
            <w:szCs w:val="18"/>
            <w:vertAlign w:val="superscript"/>
          </w:rPr>
          <w:t xml:space="preserve">[5]</w:t>
        </w:r>
      </w:hyperlink>
    </w:p>
    <w:p>
      <w:pPr>
        <w:widowControl/>
        <w:spacing w:after="120" w:before="120" w:line="300"/>
      </w:pPr>
      <w:r>
        <w:rPr>
          <w:rFonts w:ascii="Arial" w:cs="Arial" w:eastAsia="Arial" w:hAnsi="Arial"/>
          <w:b w:val="false"/>
          <w:bCs w:val="false"/>
          <w:i w:val="false"/>
          <w:iCs w:val="false"/>
          <w:sz w:val="24"/>
          <w:szCs w:val="24"/>
        </w:rPr>
        <w:t xml:space="preserve">Wisconsin divorce law centers on whether the marriage is irretrievably broken. The statute explains how the spouses' sworn statements and, in some cases, the prospect of reconciliation affect that finding.</w:t>
      </w:r>
      <w:hyperlink w:history="1" r:id="rIdxioxpve-jpnx7ircavhh6">
        <w:r>
          <w:rPr>
            <w:rFonts w:ascii="Arial" w:cs="Arial" w:eastAsia="Arial" w:hAnsi="Arial"/>
            <w:b w:val="false"/>
            <w:bCs w:val="false"/>
            <w:i w:val="false"/>
            <w:iCs w:val="false"/>
            <w:color w:val="666666"/>
            <w:sz w:val="18"/>
            <w:szCs w:val="18"/>
            <w:vertAlign w:val="superscript"/>
          </w:rPr>
          <w:t xml:space="preserve">[6]</w:t>
        </w:r>
      </w:hyperlink>
    </w:p>
    <w:p>
      <w:pPr>
        <w:widowControl/>
        <w:spacing w:after="120" w:before="120" w:line="300"/>
      </w:pPr>
      <w:r>
        <w:rPr>
          <w:rFonts w:ascii="Arial" w:cs="Arial" w:eastAsia="Arial" w:hAnsi="Arial"/>
          <w:b w:val="false"/>
          <w:bCs w:val="false"/>
          <w:i w:val="false"/>
          <w:iCs w:val="false"/>
          <w:sz w:val="24"/>
          <w:szCs w:val="24"/>
        </w:rPr>
        <w:t xml:space="preserve">A final hearing or trial generally cannot occur until 120 days after service, or 120 days after a joint petition is filed. A court may shorten that period for qualifying emergency reasons.</w:t>
      </w:r>
      <w:hyperlink w:history="1" r:id="rIdbzhpaermv0csjt7_5jevu">
        <w:r>
          <w:rPr>
            <w:rFonts w:ascii="Arial" w:cs="Arial" w:eastAsia="Arial" w:hAnsi="Arial"/>
            <w:b w:val="false"/>
            <w:bCs w:val="false"/>
            <w:i w:val="false"/>
            <w:iCs w:val="false"/>
            <w:color w:val="666666"/>
            <w:sz w:val="18"/>
            <w:szCs w:val="18"/>
            <w:vertAlign w:val="superscript"/>
          </w:rPr>
          <w:t xml:space="preserve">[7]</w:t>
        </w:r>
      </w:hyperlink>
    </w:p>
    <w:p>
      <w:pPr>
        <w:widowControl/>
        <w:spacing w:after="120" w:before="120" w:line="300"/>
      </w:pPr>
      <w:r>
        <w:rPr>
          <w:rFonts w:ascii="Arial" w:cs="Arial" w:eastAsia="Arial" w:hAnsi="Arial"/>
          <w:b w:val="false"/>
          <w:bCs w:val="false"/>
          <w:i w:val="false"/>
          <w:iCs w:val="false"/>
          <w:sz w:val="24"/>
          <w:szCs w:val="24"/>
        </w:rPr>
        <w:t xml:space="preserve">The 120-day rule is a minimum restriction, not a promised completion date. Disputed issues, information exchange, county procedures, and court scheduling can extend the case. We explain which early tasks matter when you start the case.</w:t>
      </w:r>
    </w:p>
    <w:p>
      <w:pPr>
        <w:pStyle w:val="Heading2"/>
        <w:keepNext/>
      </w:pPr>
      <w:r>
        <w:rPr>
          <w:rFonts w:ascii="Arial" w:cs="Arial" w:eastAsia="Arial" w:hAnsi="Arial"/>
          <w:b/>
          <w:bCs/>
          <w:color w:val="1F2A44"/>
          <w:sz w:val="30"/>
          <w:szCs w:val="30"/>
        </w:rPr>
        <w:t xml:space="preserve">Plan for the Decisions Your Divorce Must Address</w:t>
      </w:r>
    </w:p>
    <w:p>
      <w:pPr>
        <w:widowControl/>
        <w:spacing w:after="120" w:before="120" w:line="300"/>
      </w:pPr>
      <w:r>
        <w:rPr>
          <w:rFonts w:ascii="Arial" w:cs="Arial" w:eastAsia="Arial" w:hAnsi="Arial"/>
          <w:b w:val="false"/>
          <w:bCs w:val="false"/>
          <w:i w:val="false"/>
          <w:iCs w:val="false"/>
          <w:sz w:val="24"/>
          <w:szCs w:val="24"/>
        </w:rPr>
        <w:t xml:space="preserve">Your case plan should identify each decision, the information needed, and who will decide it. Agreements can narrow the work, while unresolved issues may require evidence, negotiation, or a court ruling.</w:t>
      </w:r>
    </w:p>
    <w:p>
      <w:pPr>
        <w:pStyle w:val="Heading3"/>
        <w:keepNext/>
      </w:pPr>
      <w:r>
        <w:rPr>
          <w:rFonts w:ascii="Arial" w:cs="Arial" w:eastAsia="Arial" w:hAnsi="Arial"/>
          <w:b/>
          <w:bCs/>
          <w:color w:val="2E5090"/>
          <w:sz w:val="26"/>
          <w:szCs w:val="26"/>
        </w:rPr>
        <w:t xml:space="preserve">Property and debt</w:t>
      </w:r>
    </w:p>
    <w:p>
      <w:pPr>
        <w:widowControl/>
        <w:spacing w:after="120" w:before="120" w:line="300"/>
      </w:pPr>
      <w:r>
        <w:rPr>
          <w:rFonts w:ascii="Arial" w:cs="Arial" w:eastAsia="Arial" w:hAnsi="Arial"/>
          <w:b w:val="false"/>
          <w:bCs w:val="false"/>
          <w:i w:val="false"/>
          <w:iCs w:val="false"/>
          <w:sz w:val="24"/>
          <w:szCs w:val="24"/>
        </w:rPr>
        <w:t xml:space="preserve">Wisconsin law presumes an equal division of divisible property, but a court may adjust that result after considering statutory factors. Certain gifts, inheritances, and traceable death-derived property are generally excluded, subject to a hardship exception.</w:t>
      </w:r>
      <w:hyperlink w:history="1" r:id="rIdkeuzrurhflggyxrwf6mcr">
        <w:r>
          <w:rPr>
            <w:rFonts w:ascii="Arial" w:cs="Arial" w:eastAsia="Arial" w:hAnsi="Arial"/>
            <w:b w:val="false"/>
            <w:bCs w:val="false"/>
            <w:i w:val="false"/>
            <w:iCs w:val="false"/>
            <w:color w:val="666666"/>
            <w:sz w:val="18"/>
            <w:szCs w:val="18"/>
            <w:vertAlign w:val="superscript"/>
          </w:rPr>
          <w:t xml:space="preserve">[8]</w:t>
        </w:r>
      </w:hyperlink>
    </w:p>
    <w:p>
      <w:pPr>
        <w:widowControl/>
        <w:spacing w:after="120" w:before="120" w:line="300"/>
      </w:pPr>
      <w:r>
        <w:rPr>
          <w:rFonts w:ascii="Arial" w:cs="Arial" w:eastAsia="Arial" w:hAnsi="Arial"/>
          <w:b w:val="false"/>
          <w:bCs w:val="false"/>
          <w:i w:val="false"/>
          <w:iCs w:val="false"/>
          <w:sz w:val="24"/>
          <w:szCs w:val="24"/>
        </w:rPr>
        <w:t xml:space="preserve">That framework is more precise than saying every asset is automatically split in half. Classification, records, valuation, taxes, debt responsibility, and the complete settlement can change the practical result. Premarital ownership also needs analysis.</w:t>
      </w:r>
    </w:p>
    <w:p>
      <w:pPr>
        <w:widowControl/>
        <w:spacing w:after="120" w:before="120" w:line="300"/>
      </w:pPr>
      <w:r>
        <w:rPr>
          <w:rFonts w:ascii="Arial" w:cs="Arial" w:eastAsia="Arial" w:hAnsi="Arial"/>
          <w:b w:val="false"/>
          <w:bCs w:val="false"/>
          <w:i w:val="false"/>
          <w:iCs w:val="false"/>
          <w:sz w:val="24"/>
          <w:szCs w:val="24"/>
        </w:rPr>
        <w:t xml:space="preserve">We help identify the records needed to understand the marital estate. That work may include account statements, tax returns, loan documents, real-estate records, insurance information, business records, and evidence of unusual transfers.</w:t>
      </w:r>
    </w:p>
    <w:p>
      <w:pPr>
        <w:pStyle w:val="Heading3"/>
        <w:keepNext/>
      </w:pPr>
      <w:r>
        <w:rPr>
          <w:rFonts w:ascii="Arial" w:cs="Arial" w:eastAsia="Arial" w:hAnsi="Arial"/>
          <w:b/>
          <w:bCs/>
          <w:color w:val="2E5090"/>
          <w:sz w:val="26"/>
          <w:szCs w:val="26"/>
        </w:rPr>
        <w:t xml:space="preserve">Maintenance</w:t>
      </w:r>
    </w:p>
    <w:p>
      <w:pPr>
        <w:widowControl/>
        <w:spacing w:after="120" w:before="120" w:line="300"/>
      </w:pPr>
      <w:r>
        <w:rPr>
          <w:rFonts w:ascii="Arial" w:cs="Arial" w:eastAsia="Arial" w:hAnsi="Arial"/>
          <w:b w:val="false"/>
          <w:bCs w:val="false"/>
          <w:i w:val="false"/>
          <w:iCs w:val="false"/>
          <w:sz w:val="24"/>
          <w:szCs w:val="24"/>
        </w:rPr>
        <w:t xml:space="preserve">Maintenance, sometimes called spousal support, is not automatic. A Wisconsin court may award limited or indefinite maintenance after considering marriage length, health, property division, education, earning capacity, contributions, and other statutory factors.</w:t>
      </w:r>
      <w:hyperlink w:history="1" r:id="rIdngtk6errhfq2xl2e7e1lo">
        <w:r>
          <w:rPr>
            <w:rFonts w:ascii="Arial" w:cs="Arial" w:eastAsia="Arial" w:hAnsi="Arial"/>
            <w:b w:val="false"/>
            <w:bCs w:val="false"/>
            <w:i w:val="false"/>
            <w:iCs w:val="false"/>
            <w:color w:val="666666"/>
            <w:sz w:val="18"/>
            <w:szCs w:val="18"/>
            <w:vertAlign w:val="superscript"/>
          </w:rPr>
          <w:t xml:space="preserve">[9]</w:t>
        </w:r>
      </w:hyperlink>
    </w:p>
    <w:p>
      <w:pPr>
        <w:widowControl/>
        <w:spacing w:after="120" w:before="120" w:line="300"/>
      </w:pPr>
      <w:r>
        <w:rPr>
          <w:rFonts w:ascii="Arial" w:cs="Arial" w:eastAsia="Arial" w:hAnsi="Arial"/>
          <w:b w:val="false"/>
          <w:bCs w:val="false"/>
          <w:i w:val="false"/>
          <w:iCs w:val="false"/>
          <w:sz w:val="24"/>
          <w:szCs w:val="24"/>
        </w:rPr>
        <w:t xml:space="preserve">There is no single statutory amount or duration for every marriage. We examine income history, future earning ability, budgets, and the property proposal so you can evaluate realistic settlement positions.</w:t>
      </w:r>
    </w:p>
    <w:p>
      <w:pPr>
        <w:pStyle w:val="Heading3"/>
        <w:keepNext/>
      </w:pPr>
      <w:r>
        <w:rPr>
          <w:rFonts w:ascii="Arial" w:cs="Arial" w:eastAsia="Arial" w:hAnsi="Arial"/>
          <w:b/>
          <w:bCs/>
          <w:color w:val="2E5090"/>
          <w:sz w:val="26"/>
          <w:szCs w:val="26"/>
        </w:rPr>
        <w:t xml:space="preserve">Children, legal custody, and physical placement</w:t>
      </w:r>
    </w:p>
    <w:p>
      <w:pPr>
        <w:widowControl/>
        <w:spacing w:after="120" w:before="120" w:line="300"/>
      </w:pPr>
      <w:r>
        <w:rPr>
          <w:rFonts w:ascii="Arial" w:cs="Arial" w:eastAsia="Arial" w:hAnsi="Arial"/>
          <w:b w:val="false"/>
          <w:bCs w:val="false"/>
          <w:i w:val="false"/>
          <w:iCs w:val="false"/>
          <w:sz w:val="24"/>
          <w:szCs w:val="24"/>
        </w:rPr>
        <w:t xml:space="preserve">When parents do not resolve custody and placement, Wisconsin courts apply the child's best interest and consider all relevant facts. The statute includes detailed factors and specific protections where domestic abuse is present.</w:t>
      </w:r>
      <w:hyperlink w:history="1" r:id="rIdl7iw_agtkl737axbu953s">
        <w:r>
          <w:rPr>
            <w:rFonts w:ascii="Arial" w:cs="Arial" w:eastAsia="Arial" w:hAnsi="Arial"/>
            <w:b w:val="false"/>
            <w:bCs w:val="false"/>
            <w:i w:val="false"/>
            <w:iCs w:val="false"/>
            <w:color w:val="666666"/>
            <w:sz w:val="18"/>
            <w:szCs w:val="18"/>
            <w:vertAlign w:val="superscript"/>
          </w:rPr>
          <w:t xml:space="preserve">[10]</w:t>
        </w:r>
      </w:hyperlink>
    </w:p>
    <w:p>
      <w:pPr>
        <w:widowControl/>
        <w:spacing w:after="120" w:before="120" w:line="300"/>
      </w:pPr>
      <w:r>
        <w:rPr>
          <w:rFonts w:ascii="Arial" w:cs="Arial" w:eastAsia="Arial" w:hAnsi="Arial"/>
          <w:b w:val="false"/>
          <w:bCs w:val="false"/>
          <w:i w:val="false"/>
          <w:iCs w:val="false"/>
          <w:sz w:val="24"/>
          <w:szCs w:val="24"/>
        </w:rPr>
        <w:t xml:space="preserve">Joint legal custody does not automatically mean equal placement time. We help you develop proposals around the child's routines, school, transportation, communication, health needs, and each household's practical circumstances.</w:t>
      </w:r>
    </w:p>
    <w:p>
      <w:pPr>
        <w:widowControl/>
        <w:spacing w:after="120" w:before="120" w:line="300"/>
      </w:pPr>
      <w:r>
        <w:rPr>
          <w:rFonts w:ascii="Arial" w:cs="Arial" w:eastAsia="Arial" w:hAnsi="Arial"/>
          <w:b w:val="false"/>
          <w:bCs w:val="false"/>
          <w:i w:val="false"/>
          <w:iCs w:val="false"/>
          <w:sz w:val="24"/>
          <w:szCs w:val="24"/>
        </w:rPr>
        <w:t xml:space="preserve">Safety concerns require direct attention, not pressure to reach agreement. Tell us about domestic abuse, threats, substance use, unsafe exchanges, or urgent child concerns so the initial plan addresses them clearly.</w:t>
      </w:r>
    </w:p>
    <w:p>
      <w:pPr>
        <w:pStyle w:val="Heading3"/>
        <w:keepNext/>
      </w:pPr>
      <w:r>
        <w:rPr>
          <w:rFonts w:ascii="Arial" w:cs="Arial" w:eastAsia="Arial" w:hAnsi="Arial"/>
          <w:b/>
          <w:bCs/>
          <w:color w:val="2E5090"/>
          <w:sz w:val="26"/>
          <w:szCs w:val="26"/>
        </w:rPr>
        <w:t xml:space="preserve">Child support</w:t>
      </w:r>
    </w:p>
    <w:p>
      <w:pPr>
        <w:widowControl/>
        <w:spacing w:after="120" w:before="120" w:line="300"/>
      </w:pPr>
      <w:r>
        <w:rPr>
          <w:rFonts w:ascii="Arial" w:cs="Arial" w:eastAsia="Arial" w:hAnsi="Arial"/>
          <w:b w:val="false"/>
          <w:bCs w:val="false"/>
          <w:i w:val="false"/>
          <w:iCs w:val="false"/>
          <w:sz w:val="24"/>
          <w:szCs w:val="24"/>
        </w:rPr>
        <w:t xml:space="preserve">Wisconsin courts generally use the state percentage standard when setting child support. A court may deviate after making the required fairness finding and stating the statutory basis for its decision.</w:t>
      </w:r>
      <w:hyperlink w:history="1" r:id="rIdrqkmm5iyyw78l1gwxl0fr">
        <w:r>
          <w:rPr>
            <w:rFonts w:ascii="Arial" w:cs="Arial" w:eastAsia="Arial" w:hAnsi="Arial"/>
            <w:b w:val="false"/>
            <w:bCs w:val="false"/>
            <w:i w:val="false"/>
            <w:iCs w:val="false"/>
            <w:color w:val="666666"/>
            <w:sz w:val="18"/>
            <w:szCs w:val="18"/>
            <w:vertAlign w:val="superscript"/>
          </w:rPr>
          <w:t xml:space="preserve">[11]</w:t>
        </w:r>
      </w:hyperlink>
    </w:p>
    <w:p>
      <w:pPr>
        <w:widowControl/>
        <w:spacing w:after="120" w:before="120" w:line="300"/>
      </w:pPr>
      <w:r>
        <w:rPr>
          <w:rFonts w:ascii="Arial" w:cs="Arial" w:eastAsia="Arial" w:hAnsi="Arial"/>
          <w:b w:val="false"/>
          <w:bCs w:val="false"/>
          <w:i w:val="false"/>
          <w:iCs w:val="false"/>
          <w:sz w:val="24"/>
          <w:szCs w:val="24"/>
        </w:rPr>
        <w:t xml:space="preserve">A reliable analysis needs current income information and the relevant placement facts. Health insurance, child-care costs, variable income, prior obligations, and other circumstances may also require attention. We identify the inputs before discussing outcomes.</w:t>
      </w:r>
    </w:p>
    <w:p>
      <w:pPr>
        <w:pStyle w:val="Heading2"/>
        <w:keepNext/>
      </w:pPr>
      <w:r>
        <w:rPr>
          <w:rFonts w:ascii="Arial" w:cs="Arial" w:eastAsia="Arial" w:hAnsi="Arial"/>
          <w:b/>
          <w:bCs/>
          <w:color w:val="1F2A44"/>
          <w:sz w:val="30"/>
          <w:szCs w:val="30"/>
        </w:rPr>
        <w:t xml:space="preserve">Protect Day-to-Day Stability While the Case Is Pending</w:t>
      </w:r>
    </w:p>
    <w:p>
      <w:pPr>
        <w:widowControl/>
        <w:spacing w:after="120" w:before="120" w:line="300"/>
      </w:pPr>
      <w:r>
        <w:rPr>
          <w:rFonts w:ascii="Arial" w:cs="Arial" w:eastAsia="Arial" w:hAnsi="Arial"/>
          <w:b w:val="false"/>
          <w:bCs w:val="false"/>
          <w:i w:val="false"/>
          <w:iCs w:val="false"/>
          <w:sz w:val="24"/>
          <w:szCs w:val="24"/>
        </w:rPr>
        <w:t xml:space="preserve">Life continues while a divorce is pending, and short-term uncertainty can disrupt the entire case. We help you identify immediate needs involving bills, parenting schedules, housing, property access, and communication.</w:t>
      </w:r>
    </w:p>
    <w:p>
      <w:pPr>
        <w:widowControl/>
        <w:spacing w:after="120" w:before="120" w:line="300"/>
      </w:pPr>
      <w:r>
        <w:rPr>
          <w:rFonts w:ascii="Arial" w:cs="Arial" w:eastAsia="Arial" w:hAnsi="Arial"/>
          <w:b w:val="false"/>
          <w:bCs w:val="false"/>
          <w:i w:val="false"/>
          <w:iCs w:val="false"/>
          <w:sz w:val="24"/>
          <w:szCs w:val="24"/>
        </w:rPr>
        <w:t xml:space="preserve">Our guidance on </w:t>
      </w:r>
      <w:hyperlink w:history="1" r:id="rIdhydf6mnxdkishp9yrekbt">
        <w:r>
          <w:rPr>
            <w:rFonts w:ascii="Arial" w:cs="Arial" w:eastAsia="Arial" w:hAnsi="Arial"/>
            <w:b/>
            <w:bCs/>
            <w:i w:val="false"/>
            <w:iCs w:val="false"/>
            <w:color w:val="2E5090"/>
            <w:sz w:val="24"/>
            <w:szCs w:val="24"/>
            <w:u w:val="single" w:color="2E5090"/>
          </w:rPr>
          <w:t xml:space="preserve">temporary orders during divorce</w:t>
        </w:r>
      </w:hyperlink>
      <w:r>
        <w:rPr>
          <w:rFonts w:ascii="Arial" w:cs="Arial" w:eastAsia="Arial" w:hAnsi="Arial"/>
          <w:b w:val="false"/>
          <w:bCs w:val="false"/>
          <w:i w:val="false"/>
          <w:iCs w:val="false"/>
          <w:sz w:val="24"/>
          <w:szCs w:val="24"/>
        </w:rPr>
        <w:t xml:space="preserve"> explains the short-term issues a court may address while a case is pending. Use it to organize the questions you want to discuss without assuming what a court will order.</w:t>
      </w:r>
    </w:p>
    <w:p>
      <w:pPr>
        <w:widowControl/>
        <w:spacing w:after="120" w:before="120" w:line="300"/>
      </w:pPr>
      <w:r>
        <w:rPr>
          <w:rFonts w:ascii="Arial" w:cs="Arial" w:eastAsia="Arial" w:hAnsi="Arial"/>
          <w:b w:val="false"/>
          <w:bCs w:val="false"/>
          <w:i w:val="false"/>
          <w:iCs w:val="false"/>
          <w:sz w:val="24"/>
          <w:szCs w:val="24"/>
        </w:rPr>
        <w:t xml:space="preserve">If there is an immediate safety concern, say so during your first contact and explain what is happening now. Emergency services address immediate danger; our team can discuss the legal options that fit the circumstances.</w:t>
      </w:r>
    </w:p>
    <w:p>
      <w:pPr>
        <w:pStyle w:val="Heading2"/>
        <w:keepNext/>
      </w:pPr>
      <w:r>
        <w:rPr>
          <w:rFonts w:ascii="Arial" w:cs="Arial" w:eastAsia="Arial" w:hAnsi="Arial"/>
          <w:b/>
          <w:bCs/>
          <w:color w:val="1F2A44"/>
          <w:sz w:val="30"/>
          <w:szCs w:val="30"/>
        </w:rPr>
        <w:t xml:space="preserve">Know What the Divorce Process Looks Like at a High Level</w:t>
      </w:r>
    </w:p>
    <w:p>
      <w:pPr>
        <w:widowControl/>
        <w:spacing w:after="120" w:before="120" w:line="300"/>
      </w:pPr>
      <w:r>
        <w:rPr>
          <w:rFonts w:ascii="Arial" w:cs="Arial" w:eastAsia="Arial" w:hAnsi="Arial"/>
          <w:b w:val="false"/>
          <w:bCs w:val="false"/>
          <w:i w:val="false"/>
          <w:iCs w:val="false"/>
          <w:sz w:val="24"/>
          <w:szCs w:val="24"/>
        </w:rPr>
        <w:t xml:space="preserve">A divorce begins with required documents, initial decisions about how to start the case, and a clear plan for the next steps. We organize the starting tasks, identify immediate requests, and explain which work Sterling will handle under your chosen service.</w:t>
      </w:r>
    </w:p>
    <w:p>
      <w:pPr>
        <w:widowControl/>
        <w:spacing w:after="120" w:before="120" w:line="300"/>
      </w:pPr>
      <w:r>
        <w:rPr>
          <w:rFonts w:ascii="Arial" w:cs="Arial" w:eastAsia="Arial" w:hAnsi="Arial"/>
          <w:b w:val="false"/>
          <w:bCs w:val="false"/>
          <w:i w:val="false"/>
          <w:iCs w:val="false"/>
          <w:sz w:val="24"/>
          <w:szCs w:val="24"/>
        </w:rPr>
        <w:t xml:space="preserve">The case then moves through information gathering, short-term planning, negotiation, and required court events. The sequence depends on the county, disputed issues, and chosen resolution path. We give you a working plan for the next phase.</w:t>
      </w:r>
    </w:p>
    <w:p>
      <w:pPr>
        <w:widowControl/>
        <w:spacing w:after="120" w:before="120" w:line="300"/>
      </w:pPr>
      <w:r>
        <w:rPr>
          <w:rFonts w:ascii="Arial" w:cs="Arial" w:eastAsia="Arial" w:hAnsi="Arial"/>
          <w:b w:val="false"/>
          <w:bCs w:val="false"/>
          <w:i w:val="false"/>
          <w:iCs w:val="false"/>
          <w:sz w:val="24"/>
          <w:szCs w:val="24"/>
        </w:rPr>
        <w:t xml:space="preserve">Settlement can occur when both spouses reach informed agreement on every required issue. When issues remain unresolved, we prepare the evidence and legal position needed for the court to decide them.</w:t>
      </w:r>
    </w:p>
    <w:p>
      <w:pPr>
        <w:pStyle w:val="Heading2"/>
        <w:keepNext/>
      </w:pPr>
      <w:r>
        <w:rPr>
          <w:rFonts w:ascii="Arial" w:cs="Arial" w:eastAsia="Arial" w:hAnsi="Arial"/>
          <w:b/>
          <w:bCs/>
          <w:color w:val="1F2A44"/>
          <w:sz w:val="30"/>
          <w:szCs w:val="30"/>
        </w:rPr>
        <w:t xml:space="preserve">Prepare for a Productive First Conversation</w:t>
      </w:r>
    </w:p>
    <w:p>
      <w:pPr>
        <w:widowControl/>
        <w:spacing w:after="120" w:before="120" w:line="300"/>
      </w:pPr>
      <w:r>
        <w:rPr>
          <w:rFonts w:ascii="Arial" w:cs="Arial" w:eastAsia="Arial" w:hAnsi="Arial"/>
          <w:b w:val="false"/>
          <w:bCs w:val="false"/>
          <w:i w:val="false"/>
          <w:iCs w:val="false"/>
          <w:sz w:val="24"/>
          <w:szCs w:val="24"/>
        </w:rPr>
        <w:t xml:space="preserve">You do not need every document or every answer before asking for help. A short, organized summary helps us identify urgent needs, important unknowns, and the service level that may fit. Bring what you have.</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Your priorities: List the decisions, concerns, and unanswered questions that matter most. Include any deadlines, safety issues, or major upcoming changes.</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Family information: Note marriage dates, separation status, children's schedules, current living arrangements, and any existing court cases or orders.</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Financial records: Gather recent income records, tax returns, account statements, debts, property information, insurance, and known business interests when available.</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Relevant history: Preserve messages and records tied to safety, parenting, finances, or agreements. Do not edit originals, and explain any privacy or access concern.</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Questions about service: Ask who would handle the work, how communication operates, what the proposed fee covers, and what happens first.</w:t>
      </w:r>
    </w:p>
    <w:p>
      <w:pPr>
        <w:widowControl/>
        <w:spacing w:after="120" w:before="120" w:line="300"/>
      </w:pPr>
      <w:r>
        <w:rPr>
          <w:rFonts w:ascii="Arial" w:cs="Arial" w:eastAsia="Arial" w:hAnsi="Arial"/>
          <w:b w:val="false"/>
          <w:bCs w:val="false"/>
          <w:i w:val="false"/>
          <w:iCs w:val="false"/>
          <w:sz w:val="24"/>
          <w:szCs w:val="24"/>
        </w:rPr>
        <w:t xml:space="preserve">Missing records should not stop the conversation. Identify what is unavailable instead of guessing, and we will help prioritize what matters now and what can be gathered later.</w:t>
      </w:r>
    </w:p>
    <w:p>
      <w:pPr>
        <w:pStyle w:val="Heading2"/>
        <w:keepNext/>
      </w:pPr>
      <w:r>
        <w:rPr>
          <w:rFonts w:ascii="Arial" w:cs="Arial" w:eastAsia="Arial" w:hAnsi="Arial"/>
          <w:b/>
          <w:bCs/>
          <w:color w:val="1F2A44"/>
          <w:sz w:val="30"/>
          <w:szCs w:val="30"/>
        </w:rPr>
        <w:t xml:space="preserve">How Sterling Lawyers Helps You Move Forward</w:t>
      </w:r>
    </w:p>
    <w:p>
      <w:pPr>
        <w:widowControl/>
        <w:spacing w:after="120" w:before="120" w:line="300"/>
      </w:pPr>
      <w:r>
        <w:rPr>
          <w:rFonts w:ascii="Arial" w:cs="Arial" w:eastAsia="Arial" w:hAnsi="Arial"/>
          <w:b w:val="false"/>
          <w:bCs w:val="false"/>
          <w:i w:val="false"/>
          <w:iCs w:val="false"/>
          <w:sz w:val="24"/>
          <w:szCs w:val="24"/>
        </w:rPr>
        <w:t xml:space="preserve">Our work starts by defining your goals, immediate risks, unresolved issues, and preferred level of support. We then match the work to a clear service scope instead of assuming every divorce needs the same approach.</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Clarify the legal framework: We explain the Wisconsin rules that govern your decisions and identify where the court has discretion.</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Build the factual record: We help organize financial documents, parenting information, communications, and other evidence relevant to disputed issues.</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Evaluate proposals: We compare settlement terms with your priorities, the available evidence, and the risks of leaving an issue for court.</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Prepare the legal work: Depending on the engagement, we can review or draft documents, negotiate, prepare for hearings, and present your position.</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Keep the next step visible: We explain what is happening, what we need from you, and which decision comes next.</w:t>
      </w:r>
    </w:p>
    <w:p>
      <w:pPr>
        <w:widowControl/>
        <w:spacing w:after="120" w:before="120" w:line="300"/>
      </w:pPr>
      <w:r>
        <w:rPr>
          <w:rFonts w:ascii="Arial" w:cs="Arial" w:eastAsia="Arial" w:hAnsi="Arial"/>
          <w:b w:val="false"/>
          <w:bCs w:val="false"/>
          <w:i w:val="false"/>
          <w:iCs w:val="false"/>
          <w:sz w:val="24"/>
          <w:szCs w:val="24"/>
        </w:rPr>
        <w:t xml:space="preserve">Fixed fees provide cost structure, but the exact fee and included work depend on the service selected. Our intake team can explain current options; the engagement documents control the actual scope and terms.</w:t>
      </w:r>
    </w:p>
    <w:p>
      <w:pPr>
        <w:pStyle w:val="Heading2"/>
        <w:keepNext/>
      </w:pPr>
      <w:r>
        <w:rPr>
          <w:rFonts w:ascii="Arial" w:cs="Arial" w:eastAsia="Arial" w:hAnsi="Arial"/>
          <w:b/>
          <w:bCs/>
          <w:color w:val="1F2A44"/>
          <w:sz w:val="30"/>
          <w:szCs w:val="30"/>
        </w:rPr>
        <w:t xml:space="preserve">Wisconsin Divorce FAQs</w:t>
      </w:r>
    </w:p>
    <w:p>
      <w:pPr>
        <w:pStyle w:val="Heading3"/>
        <w:keepNext/>
      </w:pPr>
      <w:r>
        <w:rPr>
          <w:rFonts w:ascii="Arial" w:cs="Arial" w:eastAsia="Arial" w:hAnsi="Arial"/>
          <w:b/>
          <w:bCs/>
          <w:color w:val="2E5090"/>
          <w:sz w:val="26"/>
          <w:szCs w:val="26"/>
        </w:rPr>
        <w:t xml:space="preserve">How do I know which divorce path fits my situation?</w:t>
      </w:r>
    </w:p>
    <w:p>
      <w:pPr>
        <w:widowControl/>
        <w:spacing w:after="120" w:before="120" w:line="300"/>
      </w:pPr>
      <w:r>
        <w:rPr>
          <w:rFonts w:ascii="Arial" w:cs="Arial" w:eastAsia="Arial" w:hAnsi="Arial"/>
          <w:b w:val="false"/>
          <w:bCs w:val="false"/>
          <w:i w:val="false"/>
          <w:iCs w:val="false"/>
          <w:sz w:val="24"/>
          <w:szCs w:val="24"/>
        </w:rPr>
        <w:t xml:space="preserve">Start with what remains unresolved and whether both spouses can exchange information and negotiate safely. We can compare uncontested, mediated, collaborative, and contested options against the work and support you need.</w:t>
      </w:r>
    </w:p>
    <w:p>
      <w:pPr>
        <w:pStyle w:val="Heading3"/>
        <w:keepNext/>
      </w:pPr>
      <w:r>
        <w:rPr>
          <w:rFonts w:ascii="Arial" w:cs="Arial" w:eastAsia="Arial" w:hAnsi="Arial"/>
          <w:b/>
          <w:bCs/>
          <w:color w:val="2E5090"/>
          <w:sz w:val="26"/>
          <w:szCs w:val="26"/>
        </w:rPr>
        <w:t xml:space="preserve">How are mediation and collaborative divorce different?</w:t>
      </w:r>
    </w:p>
    <w:p>
      <w:pPr>
        <w:widowControl/>
        <w:spacing w:after="120" w:before="120" w:line="300"/>
      </w:pPr>
      <w:r>
        <w:rPr>
          <w:rFonts w:ascii="Arial" w:cs="Arial" w:eastAsia="Arial" w:hAnsi="Arial"/>
          <w:b w:val="false"/>
          <w:bCs w:val="false"/>
          <w:i w:val="false"/>
          <w:iCs w:val="false"/>
          <w:sz w:val="24"/>
          <w:szCs w:val="24"/>
        </w:rPr>
        <w:t xml:space="preserve">A lawyer-mediator is neutral and does not advocate for either spouse. In Sterling's collaborative service, each spouse has a separate collaborative attorney while the participants use a structured, non-adversarial negotiation process.</w:t>
      </w:r>
    </w:p>
    <w:p>
      <w:pPr>
        <w:pStyle w:val="Heading3"/>
        <w:keepNext/>
      </w:pPr>
      <w:r>
        <w:rPr>
          <w:rFonts w:ascii="Arial" w:cs="Arial" w:eastAsia="Arial" w:hAnsi="Arial"/>
          <w:b/>
          <w:bCs/>
          <w:color w:val="2E5090"/>
          <w:sz w:val="26"/>
          <w:szCs w:val="26"/>
        </w:rPr>
        <w:t xml:space="preserve">Does joint legal custody require equal placement time?</w:t>
      </w:r>
    </w:p>
    <w:p>
      <w:pPr>
        <w:widowControl/>
        <w:spacing w:after="120" w:before="120" w:line="300"/>
      </w:pPr>
      <w:r>
        <w:rPr>
          <w:rFonts w:ascii="Arial" w:cs="Arial" w:eastAsia="Arial" w:hAnsi="Arial"/>
          <w:b w:val="false"/>
          <w:bCs w:val="false"/>
          <w:i w:val="false"/>
          <w:iCs w:val="false"/>
          <w:sz w:val="24"/>
          <w:szCs w:val="24"/>
        </w:rPr>
        <w:t xml:space="preserve">No. Legal custody concerns major decisions, while physical placement concerns where a child lives and spends time. The court evaluates placement through the child's best interest and the family's facts.</w:t>
      </w:r>
    </w:p>
    <w:p>
      <w:pPr>
        <w:pStyle w:val="Heading3"/>
        <w:keepNext/>
      </w:pPr>
      <w:r>
        <w:rPr>
          <w:rFonts w:ascii="Arial" w:cs="Arial" w:eastAsia="Arial" w:hAnsi="Arial"/>
          <w:b/>
          <w:bCs/>
          <w:color w:val="2E5090"/>
          <w:sz w:val="26"/>
          <w:szCs w:val="26"/>
        </w:rPr>
        <w:t xml:space="preserve">Does every Wisconsin divorce finish after 120 days?</w:t>
      </w:r>
    </w:p>
    <w:p>
      <w:pPr>
        <w:widowControl/>
        <w:spacing w:after="120" w:before="120" w:line="300"/>
      </w:pPr>
      <w:r>
        <w:rPr>
          <w:rFonts w:ascii="Arial" w:cs="Arial" w:eastAsia="Arial" w:hAnsi="Arial"/>
          <w:b w:val="false"/>
          <w:bCs w:val="false"/>
          <w:i w:val="false"/>
          <w:iCs w:val="false"/>
          <w:sz w:val="24"/>
          <w:szCs w:val="24"/>
        </w:rPr>
        <w:t xml:space="preserve">No. The 120-day rule generally limits how soon a final hearing or trial may occur. It does not promise completion on day 120, and scheduling or unresolved issues can extend the case.</w:t>
      </w:r>
    </w:p>
    <w:p>
      <w:pPr>
        <w:pStyle w:val="Heading3"/>
        <w:keepNext/>
      </w:pPr>
      <w:r>
        <w:rPr>
          <w:rFonts w:ascii="Arial" w:cs="Arial" w:eastAsia="Arial" w:hAnsi="Arial"/>
          <w:b/>
          <w:bCs/>
          <w:color w:val="2E5090"/>
          <w:sz w:val="26"/>
          <w:szCs w:val="26"/>
        </w:rPr>
        <w:t xml:space="preserve">Does Sterling charge a fixed fee for every service?</w:t>
      </w:r>
    </w:p>
    <w:p>
      <w:pPr>
        <w:widowControl/>
        <w:spacing w:after="120" w:before="120" w:line="300"/>
      </w:pPr>
      <w:r>
        <w:rPr>
          <w:rFonts w:ascii="Arial" w:cs="Arial" w:eastAsia="Arial" w:hAnsi="Arial"/>
          <w:b w:val="false"/>
          <w:bCs w:val="false"/>
          <w:i w:val="false"/>
          <w:iCs w:val="false"/>
          <w:sz w:val="24"/>
          <w:szCs w:val="24"/>
        </w:rPr>
        <w:t xml:space="preserve">Sterling publishes fixed-fee Wisconsin service options, including Legal Coaching and Legal Team offerings. The exact service, fee, and included work must be confirmed through current intake and the engagement documents.</w:t>
      </w:r>
    </w:p>
    <w:p>
      <w:pPr>
        <w:pStyle w:val="Heading2"/>
        <w:keepNext/>
      </w:pPr>
      <w:r>
        <w:rPr>
          <w:rFonts w:ascii="Arial" w:cs="Arial" w:eastAsia="Arial" w:hAnsi="Arial"/>
          <w:b/>
          <w:bCs/>
          <w:color w:val="1F2A44"/>
          <w:sz w:val="30"/>
          <w:szCs w:val="30"/>
        </w:rPr>
        <w:t xml:space="preserve">Talk With Sterling About Your Wisconsin Divorce</w:t>
      </w:r>
    </w:p>
    <w:p>
      <w:pPr>
        <w:widowControl/>
        <w:spacing w:after="120" w:before="120" w:line="300"/>
      </w:pPr>
      <w:r>
        <w:rPr>
          <w:rFonts w:ascii="Arial" w:cs="Arial" w:eastAsia="Arial" w:hAnsi="Arial"/>
          <w:b w:val="false"/>
          <w:bCs w:val="false"/>
          <w:i w:val="false"/>
          <w:iCs w:val="false"/>
          <w:sz w:val="24"/>
          <w:szCs w:val="24"/>
        </w:rPr>
        <w:t xml:space="preserve">You do not need to decide every issue before asking for guidance. We can help clarify the immediate questions, the information still needed, and the service path that may fit your circumstances.</w:t>
      </w:r>
    </w:p>
    <w:p>
      <w:pPr>
        <w:widowControl/>
        <w:spacing w:after="120" w:before="120" w:line="300"/>
      </w:pPr>
      <w:r>
        <w:rPr>
          <w:rFonts w:ascii="Arial" w:cs="Arial" w:eastAsia="Arial" w:hAnsi="Arial"/>
          <w:b w:val="false"/>
          <w:bCs w:val="false"/>
          <w:i w:val="false"/>
          <w:iCs w:val="false"/>
          <w:sz w:val="24"/>
          <w:szCs w:val="24"/>
        </w:rPr>
        <w:t xml:space="preserve">Call Sterling Lawyers at (262) 221-8123 or use the consultation request form. Our intake team can explain current consultation terms, available service options, what happens next, and which details the engagement documents confirm.</w:t>
      </w:r>
    </w:p>
    <w:p>
      <w:pPr>
        <w:pStyle w:val="Heading2"/>
        <w:keepNext/>
      </w:pPr>
      <w:r>
        <w:rPr>
          <w:rFonts w:ascii="Arial" w:cs="Arial" w:eastAsia="Arial" w:hAnsi="Arial"/>
          <w:b/>
          <w:bCs/>
          <w:color w:val="1F2A44"/>
          <w:sz w:val="30"/>
          <w:szCs w:val="30"/>
        </w:rPr>
        <w:t xml:space="preserve">Sources</w:t>
      </w:r>
    </w:p>
    <w:p>
      <w:pPr>
        <w:widowControl/>
        <w:spacing w:after="120" w:before="120" w:line="300"/>
        <w:ind w:left="431" w:hanging="431"/>
      </w:pPr>
      <w:r>
        <w:rPr>
          <w:rFonts w:ascii="Arial" w:cs="Arial" w:eastAsia="Arial" w:hAnsi="Arial"/>
          <w:sz w:val="24"/>
          <w:szCs w:val="24"/>
        </w:rPr>
        <w:t xml:space="preserve">[1] Sterling Lawyers, Wisconsin Pricing (accessed Sept. 15, 2026) | </w:t>
      </w:r>
      <w:hyperlink w:history="1" r:id="rIdfboezkllsisfwp7hqgqlw">
        <w:r>
          <w:rPr>
            <w:rFonts w:ascii="Arial" w:cs="Arial" w:eastAsia="Arial" w:hAnsi="Arial"/>
            <w:color w:val="2E5090"/>
            <w:sz w:val="24"/>
            <w:szCs w:val="24"/>
            <w:u w:val="single"/>
          </w:rPr>
          <w:t xml:space="preserve">https://www.sterlinglawyers.com/wisconsin/pricing/</w:t>
        </w:r>
      </w:hyperlink>
    </w:p>
    <w:p>
      <w:pPr>
        <w:widowControl/>
        <w:spacing w:after="120" w:before="120" w:line="300"/>
        <w:ind w:left="431" w:hanging="431"/>
      </w:pPr>
      <w:r>
        <w:rPr>
          <w:rFonts w:ascii="Arial" w:cs="Arial" w:eastAsia="Arial" w:hAnsi="Arial"/>
          <w:sz w:val="24"/>
          <w:szCs w:val="24"/>
        </w:rPr>
        <w:t xml:space="preserve">[2] Wis. Sup. Ct. R. 20:2.4 (lawyer serving as third-party neutral) | </w:t>
      </w:r>
      <w:hyperlink w:history="1" r:id="rIdfxlfbvv1-4o1jjax7gg9x">
        <w:r>
          <w:rPr>
            <w:rFonts w:ascii="Arial" w:cs="Arial" w:eastAsia="Arial" w:hAnsi="Arial"/>
            <w:color w:val="2E5090"/>
            <w:sz w:val="24"/>
            <w:szCs w:val="24"/>
            <w:u w:val="single"/>
          </w:rPr>
          <w:t xml:space="preserve">https://www.wicourts.gov/sc/rules/chap20b.pdf</w:t>
        </w:r>
      </w:hyperlink>
    </w:p>
    <w:p>
      <w:pPr>
        <w:widowControl/>
        <w:spacing w:after="120" w:before="120" w:line="300"/>
        <w:ind w:left="431" w:hanging="431"/>
      </w:pPr>
      <w:r>
        <w:rPr>
          <w:rFonts w:ascii="Arial" w:cs="Arial" w:eastAsia="Arial" w:hAnsi="Arial"/>
          <w:sz w:val="24"/>
          <w:szCs w:val="24"/>
        </w:rPr>
        <w:t xml:space="preserve">[3] Kemper Independence Insurance Co. v. Islami, 2021 WI 53, ¶ 18 | </w:t>
      </w:r>
      <w:hyperlink w:history="1" r:id="rId3dd5stnnt9blk3hoymqka">
        <w:r>
          <w:rPr>
            <w:rFonts w:ascii="Arial" w:cs="Arial" w:eastAsia="Arial" w:hAnsi="Arial"/>
            <w:color w:val="2E5090"/>
            <w:sz w:val="24"/>
            <w:szCs w:val="24"/>
            <w:u w:val="single"/>
          </w:rPr>
          <w:t xml:space="preserve">https://www.wicourts.gov/sc/opinion/DisplayDocument.pdf?content=pdf&amp;seqNo=375402</w:t>
        </w:r>
      </w:hyperlink>
    </w:p>
    <w:p>
      <w:pPr>
        <w:widowControl/>
        <w:spacing w:after="120" w:before="120" w:line="300"/>
        <w:ind w:left="431" w:hanging="431"/>
      </w:pPr>
      <w:r>
        <w:rPr>
          <w:rFonts w:ascii="Arial" w:cs="Arial" w:eastAsia="Arial" w:hAnsi="Arial"/>
          <w:sz w:val="24"/>
          <w:szCs w:val="24"/>
        </w:rPr>
        <w:t xml:space="preserve">[4] Wis. Stat. § 767.35 (judgment of divorce or legal separation) | </w:t>
      </w:r>
      <w:hyperlink w:history="1" r:id="rId-akxwuom-mzef3qwio0la">
        <w:r>
          <w:rPr>
            <w:rFonts w:ascii="Arial" w:cs="Arial" w:eastAsia="Arial" w:hAnsi="Arial"/>
            <w:color w:val="2E5090"/>
            <w:sz w:val="24"/>
            <w:szCs w:val="24"/>
            <w:u w:val="single"/>
          </w:rPr>
          <w:t xml:space="preserve">https://docs.legis.wisconsin.gov/document/statutes/767.35</w:t>
        </w:r>
      </w:hyperlink>
    </w:p>
    <w:p>
      <w:pPr>
        <w:widowControl/>
        <w:spacing w:after="120" w:before="120" w:line="300"/>
        <w:ind w:left="431" w:hanging="431"/>
      </w:pPr>
      <w:r>
        <w:rPr>
          <w:rFonts w:ascii="Arial" w:cs="Arial" w:eastAsia="Arial" w:hAnsi="Arial"/>
          <w:sz w:val="24"/>
          <w:szCs w:val="24"/>
        </w:rPr>
        <w:t xml:space="preserve">[5] Wis. Stat. § 767.301 (residence requirements) | </w:t>
      </w:r>
      <w:hyperlink w:history="1" r:id="rId7woqjlc9wpidxkme3vsi4">
        <w:r>
          <w:rPr>
            <w:rFonts w:ascii="Arial" w:cs="Arial" w:eastAsia="Arial" w:hAnsi="Arial"/>
            <w:color w:val="2E5090"/>
            <w:sz w:val="24"/>
            <w:szCs w:val="24"/>
            <w:u w:val="single"/>
          </w:rPr>
          <w:t xml:space="preserve">https://docs.legis.wisconsin.gov/document/statutes/767.301</w:t>
        </w:r>
      </w:hyperlink>
    </w:p>
    <w:p>
      <w:pPr>
        <w:widowControl/>
        <w:spacing w:after="120" w:before="120" w:line="300"/>
        <w:ind w:left="431" w:hanging="431"/>
      </w:pPr>
      <w:r>
        <w:rPr>
          <w:rFonts w:ascii="Arial" w:cs="Arial" w:eastAsia="Arial" w:hAnsi="Arial"/>
          <w:sz w:val="24"/>
          <w:szCs w:val="24"/>
        </w:rPr>
        <w:t xml:space="preserve">[6] Wis. Stat. § 767.315 (irretrievable breakdown) | </w:t>
      </w:r>
      <w:hyperlink w:history="1" r:id="rId-przjmyclyne63rhcgvg6">
        <w:r>
          <w:rPr>
            <w:rFonts w:ascii="Arial" w:cs="Arial" w:eastAsia="Arial" w:hAnsi="Arial"/>
            <w:color w:val="2E5090"/>
            <w:sz w:val="24"/>
            <w:szCs w:val="24"/>
            <w:u w:val="single"/>
          </w:rPr>
          <w:t xml:space="preserve">https://docs.legis.wisconsin.gov/document/statutes/767.315</w:t>
        </w:r>
      </w:hyperlink>
    </w:p>
    <w:p>
      <w:pPr>
        <w:widowControl/>
        <w:spacing w:after="120" w:before="120" w:line="300"/>
        <w:ind w:left="431" w:hanging="431"/>
      </w:pPr>
      <w:r>
        <w:rPr>
          <w:rFonts w:ascii="Arial" w:cs="Arial" w:eastAsia="Arial" w:hAnsi="Arial"/>
          <w:sz w:val="24"/>
          <w:szCs w:val="24"/>
        </w:rPr>
        <w:t xml:space="preserve">[7] Wis. Stat. § 767.335 (120-day restriction and emergency exception) | </w:t>
      </w:r>
      <w:hyperlink w:history="1" r:id="rIdra5c35vnsuatsfgpjg1pr">
        <w:r>
          <w:rPr>
            <w:rFonts w:ascii="Arial" w:cs="Arial" w:eastAsia="Arial" w:hAnsi="Arial"/>
            <w:color w:val="2E5090"/>
            <w:sz w:val="24"/>
            <w:szCs w:val="24"/>
            <w:u w:val="single"/>
          </w:rPr>
          <w:t xml:space="preserve">https://docs.legis.wisconsin.gov/document/statutes/767.335</w:t>
        </w:r>
      </w:hyperlink>
    </w:p>
    <w:p>
      <w:pPr>
        <w:widowControl/>
        <w:spacing w:after="120" w:before="120" w:line="300"/>
        <w:ind w:left="431" w:hanging="431"/>
      </w:pPr>
      <w:r>
        <w:rPr>
          <w:rFonts w:ascii="Arial" w:cs="Arial" w:eastAsia="Arial" w:hAnsi="Arial"/>
          <w:sz w:val="24"/>
          <w:szCs w:val="24"/>
        </w:rPr>
        <w:t xml:space="preserve">[8] Wis. Stat. § 767.61 (property division) | </w:t>
      </w:r>
      <w:hyperlink w:history="1" r:id="rIdw9ivgsl6fxzwl5_le4w0o">
        <w:r>
          <w:rPr>
            <w:rFonts w:ascii="Arial" w:cs="Arial" w:eastAsia="Arial" w:hAnsi="Arial"/>
            <w:color w:val="2E5090"/>
            <w:sz w:val="24"/>
            <w:szCs w:val="24"/>
            <w:u w:val="single"/>
          </w:rPr>
          <w:t xml:space="preserve">https://docs.legis.wisconsin.gov/document/statutes/767.61</w:t>
        </w:r>
      </w:hyperlink>
    </w:p>
    <w:p>
      <w:pPr>
        <w:widowControl/>
        <w:spacing w:after="120" w:before="120" w:line="300"/>
        <w:ind w:left="431" w:hanging="431"/>
      </w:pPr>
      <w:r>
        <w:rPr>
          <w:rFonts w:ascii="Arial" w:cs="Arial" w:eastAsia="Arial" w:hAnsi="Arial"/>
          <w:sz w:val="24"/>
          <w:szCs w:val="24"/>
        </w:rPr>
        <w:t xml:space="preserve">[9] Wis. Stat. § 767.56 (maintenance) | </w:t>
      </w:r>
      <w:hyperlink w:history="1" r:id="rIdehdmd3vuvqza2gllycesy">
        <w:r>
          <w:rPr>
            <w:rFonts w:ascii="Arial" w:cs="Arial" w:eastAsia="Arial" w:hAnsi="Arial"/>
            <w:color w:val="2E5090"/>
            <w:sz w:val="24"/>
            <w:szCs w:val="24"/>
            <w:u w:val="single"/>
          </w:rPr>
          <w:t xml:space="preserve">https://docs.legis.wisconsin.gov/document/statutes/767.56</w:t>
        </w:r>
      </w:hyperlink>
    </w:p>
    <w:p>
      <w:pPr>
        <w:widowControl/>
        <w:spacing w:after="120" w:before="120" w:line="300"/>
        <w:ind w:left="431" w:hanging="431"/>
      </w:pPr>
      <w:r>
        <w:rPr>
          <w:rFonts w:ascii="Arial" w:cs="Arial" w:eastAsia="Arial" w:hAnsi="Arial"/>
          <w:sz w:val="24"/>
          <w:szCs w:val="24"/>
        </w:rPr>
        <w:t xml:space="preserve">[10] Wis. Stat. § 767.41 (legal custody and physical placement) | </w:t>
      </w:r>
      <w:hyperlink w:history="1" r:id="rIdklhjc_fzh5fojtardc8ik">
        <w:r>
          <w:rPr>
            <w:rFonts w:ascii="Arial" w:cs="Arial" w:eastAsia="Arial" w:hAnsi="Arial"/>
            <w:color w:val="2E5090"/>
            <w:sz w:val="24"/>
            <w:szCs w:val="24"/>
            <w:u w:val="single"/>
          </w:rPr>
          <w:t xml:space="preserve">https://docs.legis.wisconsin.gov/document/statutes/767.41</w:t>
        </w:r>
      </w:hyperlink>
    </w:p>
    <w:p>
      <w:pPr>
        <w:widowControl/>
        <w:spacing w:after="120" w:before="120" w:line="300"/>
        <w:ind w:left="431" w:hanging="431"/>
      </w:pPr>
      <w:r>
        <w:rPr>
          <w:rFonts w:ascii="Arial" w:cs="Arial" w:eastAsia="Arial" w:hAnsi="Arial"/>
          <w:sz w:val="24"/>
          <w:szCs w:val="24"/>
        </w:rPr>
        <w:t xml:space="preserve">[11] Wis. Stat. § 767.511 (child support) | </w:t>
      </w:r>
      <w:hyperlink w:history="1" r:id="rIdgqrmyn8wdkosok7yx0ham">
        <w:r>
          <w:rPr>
            <w:rFonts w:ascii="Arial" w:cs="Arial" w:eastAsia="Arial" w:hAnsi="Arial"/>
            <w:color w:val="2E5090"/>
            <w:sz w:val="24"/>
            <w:szCs w:val="24"/>
            <w:u w:val="single"/>
          </w:rPr>
          <w:t xml:space="preserve">https://docs.legis.wisconsin.gov/document/statutes/767.511</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jc w:val="right"/>
    </w:pPr>
    <w:r>
      <w:rPr>
        <w:rFonts w:ascii="Arial" w:cs="Arial" w:eastAsia="Arial" w:hAnsi="Arial"/>
        <w:color w:val="666666"/>
        <w:sz w:val="18"/>
        <w:szCs w:val="18"/>
      </w:rPr>
      <w:t xml:space="preserve">Sterling Lawyers, LLC • Divorce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4"/>
        <w:szCs w:val="24"/>
      </w:rPr>
    </w:rPrDefault>
    <w:pPrDefault>
      <w:pPr>
        <w:spacing w:after="120" w:before="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40"/>
      <w:outlineLvl w:val="0"/>
    </w:pPr>
    <w:rPr>
      <w:rFonts w:ascii="Arial" w:cs="Arial" w:eastAsia="Arial" w:hAnsi="Arial"/>
      <w:b/>
      <w:bCs/>
      <w:color w:val="1F2A44"/>
      <w:sz w:val="36"/>
      <w:szCs w:val="36"/>
    </w:rPr>
  </w:style>
  <w:style w:type="paragraph" w:styleId="Heading2">
    <w:name w:val="Heading 2"/>
    <w:basedOn w:val="Normal"/>
    <w:next w:val="Normal"/>
    <w:qFormat/>
    <w:pPr>
      <w:keepNext/>
      <w:spacing w:after="140" w:before="360"/>
      <w:outlineLvl w:val="1"/>
    </w:pPr>
    <w:rPr>
      <w:rFonts w:ascii="Arial" w:cs="Arial" w:eastAsia="Arial" w:hAnsi="Arial"/>
      <w:b/>
      <w:bCs/>
      <w:color w:val="1F2A44"/>
      <w:sz w:val="30"/>
      <w:szCs w:val="30"/>
    </w:rPr>
  </w:style>
  <w:style w:type="paragraph" w:styleId="Heading3">
    <w:name w:val="Heading 3"/>
    <w:basedOn w:val="Normal"/>
    <w:next w:val="Normal"/>
    <w:qFormat/>
    <w:pPr>
      <w:keepNext/>
      <w:spacing w:after="100" w:before="280"/>
      <w:outlineLvl w:val="2"/>
    </w:pPr>
    <w:rPr>
      <w:rFonts w:ascii="Arial" w:cs="Arial" w:eastAsia="Arial" w:hAnsi="Arial"/>
      <w:b/>
      <w:bCs/>
      <w:color w:val="2E509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zbrvvaqqdyw5aopdq1a" Type="http://schemas.openxmlformats.org/officeDocument/2006/relationships/hyperlink" Target="https://www.sterlinglawyers.com/wisconsin/pricing/" TargetMode="External"/><Relationship Id="rIda6evsfyxg9oyltk90kcfv" Type="http://schemas.openxmlformats.org/officeDocument/2006/relationships/hyperlink" Target="https://www.sterlinglawyers.com/wisconsin/divorce/uncontested-divorce/" TargetMode="External"/><Relationship Id="rIddbpphqyeltkc4hp7ylxb9" Type="http://schemas.openxmlformats.org/officeDocument/2006/relationships/hyperlink" Target="https://www.sterlinglawyers.com/wisconsin/divorce/mediation/" TargetMode="External"/><Relationship Id="rIdgzki1-thpdjnla-s1wi-m" Type="http://schemas.openxmlformats.org/officeDocument/2006/relationships/hyperlink" Target="https://www.wicourts.gov/sc/rules/chap20b.pdf" TargetMode="External"/><Relationship Id="rIdxaurkxticaeos3lwfomlm" Type="http://schemas.openxmlformats.org/officeDocument/2006/relationships/hyperlink" Target="https://www.sterlinglawyers.com/wisconsin/divorce/collaborative/" TargetMode="External"/><Relationship Id="rIdgnqbshxayvd__rwatiblg" Type="http://schemas.openxmlformats.org/officeDocument/2006/relationships/hyperlink" Target="https://www.sterlinglawyers.com/wisconsin/divorce/contested-divorce/" TargetMode="External"/><Relationship Id="rIdl3grdjn_c21jzbtl1pqub" Type="http://schemas.openxmlformats.org/officeDocument/2006/relationships/hyperlink" Target="https://www.sterlinglawyers.com/wisconsin/divorce/high-conflict-divorce/" TargetMode="External"/><Relationship Id="rIdip3gre7sogcfoqudnhcep" Type="http://schemas.openxmlformats.org/officeDocument/2006/relationships/hyperlink" Target="https://www.sterlinglawyers.com/wisconsin/divorce/separation/" TargetMode="External"/><Relationship Id="rIdcf47r_l84j0t3d2y6wgfq" Type="http://schemas.openxmlformats.org/officeDocument/2006/relationships/hyperlink" Target="https://www.wicourts.gov/sc/opinion/DisplayDocument.pdf?content=pdf&amp;seqNo=375402" TargetMode="External"/><Relationship Id="rId1cvitnl0z6kx9tgy-4vdf" Type="http://schemas.openxmlformats.org/officeDocument/2006/relationships/hyperlink" Target="https://docs.legis.wisconsin.gov/document/statutes/767.35" TargetMode="External"/><Relationship Id="rIdsnv58tex0e7yqspye19wl" Type="http://schemas.openxmlformats.org/officeDocument/2006/relationships/hyperlink" Target="https://docs.legis.wisconsin.gov/document/statutes/767.301" TargetMode="External"/><Relationship Id="rIdxioxpve-jpnx7ircavhh6" Type="http://schemas.openxmlformats.org/officeDocument/2006/relationships/hyperlink" Target="https://docs.legis.wisconsin.gov/document/statutes/767.315" TargetMode="External"/><Relationship Id="rIdbzhpaermv0csjt7_5jevu" Type="http://schemas.openxmlformats.org/officeDocument/2006/relationships/hyperlink" Target="https://docs.legis.wisconsin.gov/document/statutes/767.335" TargetMode="External"/><Relationship Id="rIdkeuzrurhflggyxrwf6mcr" Type="http://schemas.openxmlformats.org/officeDocument/2006/relationships/hyperlink" Target="https://docs.legis.wisconsin.gov/document/statutes/767.61" TargetMode="External"/><Relationship Id="rIdngtk6errhfq2xl2e7e1lo" Type="http://schemas.openxmlformats.org/officeDocument/2006/relationships/hyperlink" Target="https://docs.legis.wisconsin.gov/document/statutes/767.56" TargetMode="External"/><Relationship Id="rIdl7iw_agtkl737axbu953s" Type="http://schemas.openxmlformats.org/officeDocument/2006/relationships/hyperlink" Target="https://docs.legis.wisconsin.gov/document/statutes/767.41" TargetMode="External"/><Relationship Id="rIdrqkmm5iyyw78l1gwxl0fr" Type="http://schemas.openxmlformats.org/officeDocument/2006/relationships/hyperlink" Target="https://docs.legis.wisconsin.gov/document/statutes/767.511" TargetMode="External"/><Relationship Id="rIdhydf6mnxdkishp9yrekbt" Type="http://schemas.openxmlformats.org/officeDocument/2006/relationships/hyperlink" Target="https://www.sterlinglawyers.com/wisconsin/divorce/temporary-orders-in-divorce/" TargetMode="External"/><Relationship Id="rIdfboezkllsisfwp7hqgqlw" Type="http://schemas.openxmlformats.org/officeDocument/2006/relationships/hyperlink" Target="https://www.sterlinglawyers.com/wisconsin/pricing/" TargetMode="External"/><Relationship Id="rIdfxlfbvv1-4o1jjax7gg9x" Type="http://schemas.openxmlformats.org/officeDocument/2006/relationships/hyperlink" Target="https://www.wicourts.gov/sc/rules/chap20b.pdf" TargetMode="External"/><Relationship Id="rId3dd5stnnt9blk3hoymqka" Type="http://schemas.openxmlformats.org/officeDocument/2006/relationships/hyperlink" Target="https://www.wicourts.gov/sc/opinion/DisplayDocument.pdf?content=pdf&amp;seqNo=375402" TargetMode="External"/><Relationship Id="rId-akxwuom-mzef3qwio0la" Type="http://schemas.openxmlformats.org/officeDocument/2006/relationships/hyperlink" Target="https://docs.legis.wisconsin.gov/document/statutes/767.35" TargetMode="External"/><Relationship Id="rId7woqjlc9wpidxkme3vsi4" Type="http://schemas.openxmlformats.org/officeDocument/2006/relationships/hyperlink" Target="https://docs.legis.wisconsin.gov/document/statutes/767.301" TargetMode="External"/><Relationship Id="rId-przjmyclyne63rhcgvg6" Type="http://schemas.openxmlformats.org/officeDocument/2006/relationships/hyperlink" Target="https://docs.legis.wisconsin.gov/document/statutes/767.315" TargetMode="External"/><Relationship Id="rIdra5c35vnsuatsfgpjg1pr" Type="http://schemas.openxmlformats.org/officeDocument/2006/relationships/hyperlink" Target="https://docs.legis.wisconsin.gov/document/statutes/767.335" TargetMode="External"/><Relationship Id="rIdw9ivgsl6fxzwl5_le4w0o" Type="http://schemas.openxmlformats.org/officeDocument/2006/relationships/hyperlink" Target="https://docs.legis.wisconsin.gov/document/statutes/767.61" TargetMode="External"/><Relationship Id="rIdehdmd3vuvqza2gllycesy" Type="http://schemas.openxmlformats.org/officeDocument/2006/relationships/hyperlink" Target="https://docs.legis.wisconsin.gov/document/statutes/767.56" TargetMode="External"/><Relationship Id="rIdklhjc_fzh5fojtardc8ik" Type="http://schemas.openxmlformats.org/officeDocument/2006/relationships/hyperlink" Target="https://docs.legis.wisconsin.gov/document/statutes/767.41" TargetMode="External"/><Relationship Id="rIdgqrmyn8wdkosok7yx0ham" Type="http://schemas.openxmlformats.org/officeDocument/2006/relationships/hyperlink" Target="https://docs.legis.wisconsin.gov/document/statutes/767.511"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Wisconsin Divorce Lawyers: Understand Your Options and Next Steps</dc:title>
  <dc:subject>Divorce Core Practice-Area Hub</dc:subject>
  <dc:creator>Core Practice-Area Hub local workflow</dc:creator>
  <dc:description>Generated Core Practice-Area Hub draft requiring editorial and legal review.</dc:description>
  <cp:lastModifiedBy>Un-named</cp:lastModifiedBy>
  <cp:revision>1</cp:revision>
  <dcterms:created xsi:type="dcterms:W3CDTF">2026-09-16T00:53:58.287Z</dcterms:created>
  <dcterms:modified xsi:type="dcterms:W3CDTF">2026-09-16T00:53:58.293Z</dcterms:modified>
</cp:coreProperties>
</file>

<file path=docProps/custom.xml><?xml version="1.0" encoding="utf-8"?>
<Properties xmlns="http://schemas.openxmlformats.org/officeDocument/2006/custom-properties" xmlns:vt="http://schemas.openxmlformats.org/officeDocument/2006/docPropsVTypes"/>
</file>