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88C93" w14:textId="49FEDEB6" w:rsidR="75C83638" w:rsidRPr="006F7DC9" w:rsidRDefault="75C83638" w:rsidP="2556DD65">
      <w:pPr>
        <w:spacing w:line="240" w:lineRule="auto"/>
        <w:jc w:val="center"/>
        <w:rPr>
          <w:rFonts w:ascii="Times New Roman" w:eastAsia="Segoe UI" w:hAnsi="Times New Roman" w:cs="Times New Roman"/>
          <w:color w:val="000000" w:themeColor="text1"/>
          <w:sz w:val="24"/>
          <w:szCs w:val="24"/>
          <w:u w:val="single"/>
        </w:rPr>
      </w:pPr>
      <w:r w:rsidRPr="006F7DC9">
        <w:rPr>
          <w:rFonts w:ascii="Times New Roman" w:eastAsia="Segoe UI" w:hAnsi="Times New Roman" w:cs="Times New Roman"/>
          <w:b/>
          <w:bCs/>
          <w:color w:val="000000" w:themeColor="text1"/>
          <w:sz w:val="24"/>
          <w:szCs w:val="24"/>
          <w:u w:val="single"/>
        </w:rPr>
        <w:t>Back testing TQQ Executive Summary</w:t>
      </w:r>
    </w:p>
    <w:p w14:paraId="5A73FF23" w14:textId="0DEF463E" w:rsidR="75C83638" w:rsidRPr="006F7DC9" w:rsidRDefault="75C83638" w:rsidP="2556DD65">
      <w:pPr>
        <w:spacing w:line="240" w:lineRule="auto"/>
        <w:jc w:val="center"/>
        <w:rPr>
          <w:rFonts w:ascii="Times New Roman" w:eastAsia="Segoe UI" w:hAnsi="Times New Roman" w:cs="Times New Roman"/>
          <w:color w:val="000000" w:themeColor="text1"/>
          <w:sz w:val="24"/>
          <w:szCs w:val="24"/>
        </w:rPr>
      </w:pPr>
      <w:r w:rsidRPr="006F7DC9">
        <w:rPr>
          <w:rFonts w:ascii="Times New Roman" w:eastAsia="Segoe UI" w:hAnsi="Times New Roman" w:cs="Times New Roman"/>
          <w:color w:val="000000" w:themeColor="text1"/>
          <w:sz w:val="24"/>
          <w:szCs w:val="24"/>
        </w:rPr>
        <w:t xml:space="preserve">DASC 2103 </w:t>
      </w:r>
    </w:p>
    <w:p w14:paraId="15F9042C" w14:textId="7721493E" w:rsidR="75C83638" w:rsidRPr="006F7DC9" w:rsidRDefault="75C83638" w:rsidP="2556DD65">
      <w:pPr>
        <w:spacing w:line="240" w:lineRule="auto"/>
        <w:jc w:val="center"/>
        <w:rPr>
          <w:rFonts w:ascii="Times New Roman" w:eastAsia="Segoe UI" w:hAnsi="Times New Roman" w:cs="Times New Roman"/>
          <w:color w:val="000000" w:themeColor="text1"/>
          <w:sz w:val="24"/>
          <w:szCs w:val="24"/>
        </w:rPr>
      </w:pPr>
      <w:r w:rsidRPr="006F7DC9">
        <w:rPr>
          <w:rFonts w:ascii="Times New Roman" w:eastAsia="Segoe UI" w:hAnsi="Times New Roman" w:cs="Times New Roman"/>
          <w:color w:val="000000" w:themeColor="text1"/>
          <w:sz w:val="24"/>
          <w:szCs w:val="24"/>
        </w:rPr>
        <w:t>5/4/2023</w:t>
      </w:r>
    </w:p>
    <w:p w14:paraId="48C785CC" w14:textId="1379318F" w:rsidR="75C83638" w:rsidRPr="006F7DC9" w:rsidRDefault="75C83638" w:rsidP="2556DD65">
      <w:pPr>
        <w:spacing w:line="240" w:lineRule="auto"/>
        <w:jc w:val="center"/>
        <w:rPr>
          <w:rFonts w:ascii="Times New Roman" w:eastAsia="Segoe UI" w:hAnsi="Times New Roman" w:cs="Times New Roman"/>
          <w:color w:val="000000" w:themeColor="text1"/>
          <w:sz w:val="24"/>
          <w:szCs w:val="24"/>
        </w:rPr>
      </w:pPr>
      <w:r w:rsidRPr="006F7DC9">
        <w:rPr>
          <w:rFonts w:ascii="Times New Roman" w:eastAsia="Segoe UI" w:hAnsi="Times New Roman" w:cs="Times New Roman"/>
          <w:color w:val="000000" w:themeColor="text1"/>
          <w:sz w:val="24"/>
          <w:szCs w:val="24"/>
        </w:rPr>
        <w:t>Sterling Hayden</w:t>
      </w:r>
    </w:p>
    <w:p w14:paraId="4AC25002" w14:textId="12B75355" w:rsidR="2556DD65" w:rsidRPr="006F7DC9" w:rsidRDefault="2556DD65" w:rsidP="2556DD65">
      <w:pPr>
        <w:spacing w:line="480" w:lineRule="auto"/>
        <w:rPr>
          <w:rFonts w:ascii="Times New Roman" w:eastAsia="Segoe UI" w:hAnsi="Times New Roman" w:cs="Times New Roman"/>
          <w:color w:val="000000" w:themeColor="text1"/>
          <w:sz w:val="24"/>
          <w:szCs w:val="24"/>
        </w:rPr>
      </w:pPr>
    </w:p>
    <w:p w14:paraId="361389CC" w14:textId="0D5356EB" w:rsidR="75C83638" w:rsidRPr="006F7DC9" w:rsidRDefault="75C83638" w:rsidP="2556DD65">
      <w:pPr>
        <w:spacing w:line="480" w:lineRule="auto"/>
        <w:rPr>
          <w:rFonts w:ascii="Times New Roman" w:eastAsia="Segoe UI" w:hAnsi="Times New Roman" w:cs="Times New Roman"/>
          <w:color w:val="000000" w:themeColor="text1"/>
          <w:sz w:val="24"/>
          <w:szCs w:val="24"/>
        </w:rPr>
      </w:pPr>
      <w:r w:rsidRPr="006F7DC9">
        <w:rPr>
          <w:rFonts w:ascii="Times New Roman" w:eastAsia="Segoe UI" w:hAnsi="Times New Roman" w:cs="Times New Roman"/>
          <w:b/>
          <w:bCs/>
          <w:color w:val="000000" w:themeColor="text1"/>
          <w:sz w:val="24"/>
          <w:szCs w:val="24"/>
        </w:rPr>
        <w:t>Central Question</w:t>
      </w:r>
    </w:p>
    <w:p w14:paraId="2E93AC7E" w14:textId="1A2DBCDF" w:rsidR="75C83638" w:rsidRPr="006F7DC9" w:rsidRDefault="75C83638" w:rsidP="006F7DC9">
      <w:pPr>
        <w:spacing w:line="480" w:lineRule="auto"/>
        <w:rPr>
          <w:rFonts w:ascii="Times New Roman" w:eastAsia="Segoe UI" w:hAnsi="Times New Roman" w:cs="Times New Roman"/>
          <w:color w:val="000000" w:themeColor="text1"/>
          <w:sz w:val="24"/>
          <w:szCs w:val="24"/>
        </w:rPr>
      </w:pPr>
      <w:r w:rsidRPr="006F7DC9">
        <w:rPr>
          <w:rFonts w:ascii="Times New Roman" w:eastAsia="Segoe UI" w:hAnsi="Times New Roman" w:cs="Times New Roman"/>
          <w:color w:val="000000" w:themeColor="text1"/>
          <w:sz w:val="24"/>
          <w:szCs w:val="24"/>
        </w:rPr>
        <w:t xml:space="preserve">Our main question behind this project was to determine if it is possible to accumulate wealth over </w:t>
      </w:r>
      <w:r w:rsidR="038BE19E" w:rsidRPr="006F7DC9">
        <w:rPr>
          <w:rFonts w:ascii="Times New Roman" w:eastAsia="Segoe UI" w:hAnsi="Times New Roman" w:cs="Times New Roman"/>
          <w:color w:val="000000" w:themeColor="text1"/>
          <w:sz w:val="24"/>
          <w:szCs w:val="24"/>
        </w:rPr>
        <w:t xml:space="preserve">a </w:t>
      </w:r>
      <w:r w:rsidR="00FA2409" w:rsidRPr="006F7DC9">
        <w:rPr>
          <w:rFonts w:ascii="Times New Roman" w:eastAsia="Segoe UI" w:hAnsi="Times New Roman" w:cs="Times New Roman"/>
          <w:color w:val="000000" w:themeColor="text1"/>
          <w:sz w:val="24"/>
          <w:szCs w:val="24"/>
        </w:rPr>
        <w:t>long time period</w:t>
      </w:r>
      <w:r w:rsidRPr="006F7DC9">
        <w:rPr>
          <w:rFonts w:ascii="Times New Roman" w:eastAsia="Segoe UI" w:hAnsi="Times New Roman" w:cs="Times New Roman"/>
          <w:color w:val="000000" w:themeColor="text1"/>
          <w:sz w:val="24"/>
          <w:szCs w:val="24"/>
        </w:rPr>
        <w:t xml:space="preserve"> by holding leveraged ETF’s, such as TQQQ. Our belief is that the stigma behind </w:t>
      </w:r>
      <w:r w:rsidR="60D32429" w:rsidRPr="006F7DC9">
        <w:rPr>
          <w:rFonts w:ascii="Times New Roman" w:eastAsia="Segoe UI" w:hAnsi="Times New Roman" w:cs="Times New Roman"/>
          <w:color w:val="000000" w:themeColor="text1"/>
          <w:sz w:val="24"/>
          <w:szCs w:val="24"/>
        </w:rPr>
        <w:t>long-term</w:t>
      </w:r>
      <w:r w:rsidRPr="006F7DC9">
        <w:rPr>
          <w:rFonts w:ascii="Times New Roman" w:eastAsia="Segoe UI" w:hAnsi="Times New Roman" w:cs="Times New Roman"/>
          <w:color w:val="000000" w:themeColor="text1"/>
          <w:sz w:val="24"/>
          <w:szCs w:val="24"/>
        </w:rPr>
        <w:t xml:space="preserve"> investments has some validity to it. </w:t>
      </w:r>
      <w:r w:rsidR="6117A494" w:rsidRPr="006F7DC9">
        <w:rPr>
          <w:rFonts w:ascii="Times New Roman" w:eastAsia="Segoe UI" w:hAnsi="Times New Roman" w:cs="Times New Roman"/>
          <w:color w:val="000000" w:themeColor="text1"/>
          <w:sz w:val="24"/>
          <w:szCs w:val="24"/>
        </w:rPr>
        <w:t>Additionally</w:t>
      </w:r>
      <w:r w:rsidRPr="006F7DC9">
        <w:rPr>
          <w:rFonts w:ascii="Times New Roman" w:eastAsia="Segoe UI" w:hAnsi="Times New Roman" w:cs="Times New Roman"/>
          <w:color w:val="000000" w:themeColor="text1"/>
          <w:sz w:val="24"/>
          <w:szCs w:val="24"/>
        </w:rPr>
        <w:t xml:space="preserve">, we want to determine if </w:t>
      </w:r>
      <w:r w:rsidR="548F2857" w:rsidRPr="006F7DC9">
        <w:rPr>
          <w:rFonts w:ascii="Times New Roman" w:eastAsia="Segoe UI" w:hAnsi="Times New Roman" w:cs="Times New Roman"/>
          <w:color w:val="000000" w:themeColor="text1"/>
          <w:sz w:val="24"/>
          <w:szCs w:val="24"/>
        </w:rPr>
        <w:t xml:space="preserve">there is any split that would further increase our </w:t>
      </w:r>
      <w:r w:rsidR="05D11D8F" w:rsidRPr="006F7DC9">
        <w:rPr>
          <w:rFonts w:ascii="Times New Roman" w:eastAsia="Segoe UI" w:hAnsi="Times New Roman" w:cs="Times New Roman"/>
          <w:color w:val="000000" w:themeColor="text1"/>
          <w:sz w:val="24"/>
          <w:szCs w:val="24"/>
        </w:rPr>
        <w:t>profits</w:t>
      </w:r>
      <w:r w:rsidR="548F2857" w:rsidRPr="006F7DC9">
        <w:rPr>
          <w:rFonts w:ascii="Times New Roman" w:eastAsia="Segoe UI" w:hAnsi="Times New Roman" w:cs="Times New Roman"/>
          <w:color w:val="000000" w:themeColor="text1"/>
          <w:sz w:val="24"/>
          <w:szCs w:val="24"/>
        </w:rPr>
        <w:t xml:space="preserve"> and reduce our risk.</w:t>
      </w:r>
    </w:p>
    <w:p w14:paraId="6415E16B" w14:textId="402CB308" w:rsidR="0AAF73A4" w:rsidRPr="006F7DC9" w:rsidRDefault="0AAF73A4" w:rsidP="2556DD65">
      <w:pPr>
        <w:spacing w:line="480" w:lineRule="auto"/>
        <w:rPr>
          <w:rFonts w:ascii="Times New Roman" w:eastAsia="Segoe UI" w:hAnsi="Times New Roman" w:cs="Times New Roman"/>
          <w:b/>
          <w:bCs/>
          <w:color w:val="000000" w:themeColor="text1"/>
          <w:sz w:val="24"/>
          <w:szCs w:val="24"/>
        </w:rPr>
      </w:pPr>
      <w:r w:rsidRPr="006F7DC9">
        <w:rPr>
          <w:rFonts w:ascii="Times New Roman" w:eastAsia="Segoe UI" w:hAnsi="Times New Roman" w:cs="Times New Roman"/>
          <w:b/>
          <w:bCs/>
          <w:color w:val="000000" w:themeColor="text1"/>
          <w:sz w:val="24"/>
          <w:szCs w:val="24"/>
        </w:rPr>
        <w:t>Purposed Solution</w:t>
      </w:r>
    </w:p>
    <w:p w14:paraId="16304CBA" w14:textId="27CC8F4A" w:rsidR="0AAF73A4" w:rsidRPr="006F7DC9" w:rsidRDefault="002A2311" w:rsidP="006F7DC9">
      <w:pPr>
        <w:spacing w:line="480" w:lineRule="auto"/>
        <w:rPr>
          <w:rFonts w:ascii="Times New Roman" w:eastAsia="Segoe UI" w:hAnsi="Times New Roman" w:cs="Times New Roman"/>
          <w:color w:val="000000" w:themeColor="text1"/>
          <w:sz w:val="24"/>
          <w:szCs w:val="24"/>
        </w:rPr>
      </w:pPr>
      <w:r w:rsidRPr="006F7DC9">
        <w:rPr>
          <w:rFonts w:ascii="Times New Roman" w:eastAsia="Segoe UI" w:hAnsi="Times New Roman" w:cs="Times New Roman"/>
          <w:color w:val="000000" w:themeColor="text1"/>
          <w:sz w:val="24"/>
          <w:szCs w:val="24"/>
        </w:rPr>
        <w:t>Using portfolio diversification and daily rebalancing to a</w:t>
      </w:r>
      <w:r w:rsidR="00FA2409" w:rsidRPr="006F7DC9">
        <w:rPr>
          <w:rFonts w:ascii="Times New Roman" w:eastAsia="Segoe UI" w:hAnsi="Times New Roman" w:cs="Times New Roman"/>
          <w:color w:val="000000" w:themeColor="text1"/>
          <w:sz w:val="24"/>
          <w:szCs w:val="24"/>
        </w:rPr>
        <w:t>chiev</w:t>
      </w:r>
      <w:r w:rsidRPr="006F7DC9">
        <w:rPr>
          <w:rFonts w:ascii="Times New Roman" w:eastAsia="Segoe UI" w:hAnsi="Times New Roman" w:cs="Times New Roman"/>
          <w:color w:val="000000" w:themeColor="text1"/>
          <w:sz w:val="24"/>
          <w:szCs w:val="24"/>
        </w:rPr>
        <w:t>e</w:t>
      </w:r>
      <w:r w:rsidR="00FA2409" w:rsidRPr="006F7DC9">
        <w:rPr>
          <w:rFonts w:ascii="Times New Roman" w:eastAsia="Segoe UI" w:hAnsi="Times New Roman" w:cs="Times New Roman"/>
          <w:color w:val="000000" w:themeColor="text1"/>
          <w:sz w:val="24"/>
          <w:szCs w:val="24"/>
        </w:rPr>
        <w:t xml:space="preserve"> high rates of return while mitigating the associated risks </w:t>
      </w:r>
      <w:r w:rsidRPr="006F7DC9">
        <w:rPr>
          <w:rFonts w:ascii="Times New Roman" w:eastAsia="Segoe UI" w:hAnsi="Times New Roman" w:cs="Times New Roman"/>
          <w:color w:val="000000" w:themeColor="text1"/>
          <w:sz w:val="24"/>
          <w:szCs w:val="24"/>
        </w:rPr>
        <w:t>inherent with leverage.</w:t>
      </w:r>
    </w:p>
    <w:p w14:paraId="1A4657B0" w14:textId="17BDEDEF" w:rsidR="00FA2409" w:rsidRPr="006F7DC9" w:rsidRDefault="00FA2409" w:rsidP="00FA2409">
      <w:pPr>
        <w:spacing w:line="480" w:lineRule="auto"/>
        <w:rPr>
          <w:rFonts w:ascii="Times New Roman" w:eastAsia="Segoe UI" w:hAnsi="Times New Roman" w:cs="Times New Roman"/>
          <w:b/>
          <w:bCs/>
          <w:color w:val="000000" w:themeColor="text1"/>
          <w:sz w:val="24"/>
          <w:szCs w:val="24"/>
        </w:rPr>
      </w:pPr>
      <w:r w:rsidRPr="006F7DC9">
        <w:rPr>
          <w:rFonts w:ascii="Times New Roman" w:eastAsia="Segoe UI" w:hAnsi="Times New Roman" w:cs="Times New Roman"/>
          <w:b/>
          <w:bCs/>
          <w:color w:val="000000" w:themeColor="text1"/>
          <w:sz w:val="24"/>
          <w:szCs w:val="24"/>
        </w:rPr>
        <w:t>Methodology</w:t>
      </w:r>
    </w:p>
    <w:p w14:paraId="3EA9DDC4" w14:textId="19FAA714" w:rsidR="00FA2409" w:rsidRPr="006F7DC9" w:rsidRDefault="002A2311" w:rsidP="00FA2409">
      <w:pPr>
        <w:spacing w:line="480" w:lineRule="auto"/>
        <w:rPr>
          <w:rFonts w:ascii="Times New Roman" w:eastAsia="Segoe UI" w:hAnsi="Times New Roman" w:cs="Times New Roman"/>
          <w:sz w:val="24"/>
          <w:szCs w:val="24"/>
        </w:rPr>
      </w:pPr>
      <w:r w:rsidRPr="006F7DC9">
        <w:rPr>
          <w:rFonts w:ascii="Times New Roman" w:eastAsia="Segoe UI" w:hAnsi="Times New Roman" w:cs="Times New Roman"/>
          <w:sz w:val="24"/>
          <w:szCs w:val="24"/>
        </w:rPr>
        <w:t xml:space="preserve">Comparing the performance of baseline indices to their daily rebalanced portfolio splits: 50/50 TQQQ &amp; SPY Split, 50/50 TQQQ &amp; GLD Split, 60/40 TQQQ &amp; GLD Split, 80/20 TQQQ &amp; GLD Split. Were </w:t>
      </w:r>
      <w:hyperlink r:id="rId7" w:history="1">
        <w:r w:rsidRPr="006F7DC9">
          <w:rPr>
            <w:rStyle w:val="Hyperlink"/>
            <w:rFonts w:ascii="Times New Roman" w:eastAsia="Segoe UI" w:hAnsi="Times New Roman" w:cs="Times New Roman"/>
            <w:sz w:val="24"/>
            <w:szCs w:val="24"/>
          </w:rPr>
          <w:t>QQQ</w:t>
        </w:r>
      </w:hyperlink>
      <w:r w:rsidRPr="006F7DC9">
        <w:rPr>
          <w:rFonts w:ascii="Times New Roman" w:eastAsia="Segoe UI" w:hAnsi="Times New Roman" w:cs="Times New Roman"/>
          <w:sz w:val="24"/>
          <w:szCs w:val="24"/>
        </w:rPr>
        <w:t xml:space="preserve"> is Nasdaq-100 index, </w:t>
      </w:r>
      <w:hyperlink r:id="rId8" w:history="1">
        <w:r w:rsidR="00B337F1" w:rsidRPr="006F7DC9">
          <w:rPr>
            <w:rStyle w:val="Hyperlink"/>
            <w:rFonts w:ascii="Times New Roman" w:eastAsia="Segoe UI" w:hAnsi="Times New Roman" w:cs="Times New Roman"/>
            <w:sz w:val="24"/>
            <w:szCs w:val="24"/>
          </w:rPr>
          <w:t>SPY</w:t>
        </w:r>
      </w:hyperlink>
      <w:r w:rsidR="00B337F1" w:rsidRPr="006F7DC9">
        <w:rPr>
          <w:rFonts w:ascii="Times New Roman" w:eastAsia="Segoe UI" w:hAnsi="Times New Roman" w:cs="Times New Roman"/>
          <w:sz w:val="24"/>
          <w:szCs w:val="24"/>
        </w:rPr>
        <w:t xml:space="preserve"> is the S&amp;P 500 index, </w:t>
      </w:r>
      <w:hyperlink r:id="rId9" w:history="1">
        <w:r w:rsidR="00B337F1" w:rsidRPr="006F7DC9">
          <w:rPr>
            <w:rStyle w:val="Hyperlink"/>
            <w:rFonts w:ascii="Times New Roman" w:eastAsia="Segoe UI" w:hAnsi="Times New Roman" w:cs="Times New Roman"/>
            <w:sz w:val="24"/>
            <w:szCs w:val="24"/>
          </w:rPr>
          <w:t>GLD</w:t>
        </w:r>
      </w:hyperlink>
      <w:r w:rsidR="00B337F1" w:rsidRPr="006F7DC9">
        <w:rPr>
          <w:rFonts w:ascii="Times New Roman" w:eastAsia="Segoe UI" w:hAnsi="Times New Roman" w:cs="Times New Roman"/>
          <w:sz w:val="24"/>
          <w:szCs w:val="24"/>
        </w:rPr>
        <w:t xml:space="preserve"> tracks the price of gold, and </w:t>
      </w:r>
      <w:hyperlink r:id="rId10" w:history="1">
        <w:r w:rsidR="00B337F1" w:rsidRPr="006F7DC9">
          <w:rPr>
            <w:rStyle w:val="Hyperlink"/>
            <w:rFonts w:ascii="Times New Roman" w:eastAsia="Segoe UI" w:hAnsi="Times New Roman" w:cs="Times New Roman"/>
            <w:sz w:val="24"/>
            <w:szCs w:val="24"/>
          </w:rPr>
          <w:t>TQQQ</w:t>
        </w:r>
      </w:hyperlink>
      <w:r w:rsidR="00B337F1" w:rsidRPr="006F7DC9">
        <w:rPr>
          <w:rFonts w:ascii="Times New Roman" w:eastAsia="Segoe UI" w:hAnsi="Times New Roman" w:cs="Times New Roman"/>
          <w:sz w:val="24"/>
          <w:szCs w:val="24"/>
        </w:rPr>
        <w:t xml:space="preserve"> which tracks the 3x daily return of QQQ.</w:t>
      </w:r>
    </w:p>
    <w:p w14:paraId="5B87053A" w14:textId="4EDBFBC1" w:rsidR="1AB6DD4B" w:rsidRPr="006F7DC9" w:rsidRDefault="1AB6DD4B" w:rsidP="2556DD65">
      <w:pPr>
        <w:spacing w:line="480" w:lineRule="auto"/>
        <w:rPr>
          <w:rFonts w:ascii="Times New Roman" w:eastAsia="Segoe UI" w:hAnsi="Times New Roman" w:cs="Times New Roman"/>
          <w:b/>
          <w:bCs/>
          <w:sz w:val="24"/>
          <w:szCs w:val="24"/>
        </w:rPr>
      </w:pPr>
      <w:r w:rsidRPr="006F7DC9">
        <w:rPr>
          <w:rFonts w:ascii="Times New Roman" w:eastAsia="Segoe UI" w:hAnsi="Times New Roman" w:cs="Times New Roman"/>
          <w:b/>
          <w:bCs/>
          <w:sz w:val="24"/>
          <w:szCs w:val="24"/>
        </w:rPr>
        <w:t xml:space="preserve">Our </w:t>
      </w:r>
      <w:r w:rsidR="00B337F1" w:rsidRPr="006F7DC9">
        <w:rPr>
          <w:rFonts w:ascii="Times New Roman" w:eastAsia="Segoe UI" w:hAnsi="Times New Roman" w:cs="Times New Roman"/>
          <w:b/>
          <w:bCs/>
          <w:sz w:val="24"/>
          <w:szCs w:val="24"/>
        </w:rPr>
        <w:t xml:space="preserve">Analysis &amp; </w:t>
      </w:r>
      <w:r w:rsidRPr="006F7DC9">
        <w:rPr>
          <w:rFonts w:ascii="Times New Roman" w:eastAsia="Segoe UI" w:hAnsi="Times New Roman" w:cs="Times New Roman"/>
          <w:b/>
          <w:bCs/>
          <w:sz w:val="24"/>
          <w:szCs w:val="24"/>
        </w:rPr>
        <w:t>Findings</w:t>
      </w:r>
    </w:p>
    <w:p w14:paraId="18B9E11D" w14:textId="3833EA70" w:rsidR="005A3D3E" w:rsidRPr="006F7DC9" w:rsidRDefault="005A3D3E" w:rsidP="006F7DC9">
      <w:pPr>
        <w:spacing w:line="480" w:lineRule="auto"/>
        <w:rPr>
          <w:rFonts w:ascii="Times New Roman" w:eastAsia="Segoe UI" w:hAnsi="Times New Roman" w:cs="Times New Roman"/>
          <w:sz w:val="24"/>
          <w:szCs w:val="24"/>
        </w:rPr>
      </w:pPr>
      <w:r w:rsidRPr="006F7DC9">
        <w:rPr>
          <w:rFonts w:ascii="Times New Roman" w:eastAsia="Segoe UI" w:hAnsi="Times New Roman" w:cs="Times New Roman"/>
          <w:sz w:val="24"/>
          <w:szCs w:val="24"/>
        </w:rPr>
        <w:t xml:space="preserve">In our analysis, we tested TQQQ's performance from several important dates, including its inception in 2010, its all-time high in November 2021, the COVID bear market rally starting in </w:t>
      </w:r>
      <w:r w:rsidRPr="006F7DC9">
        <w:rPr>
          <w:rFonts w:ascii="Times New Roman" w:eastAsia="Segoe UI" w:hAnsi="Times New Roman" w:cs="Times New Roman"/>
          <w:sz w:val="24"/>
          <w:szCs w:val="24"/>
        </w:rPr>
        <w:lastRenderedPageBreak/>
        <w:t xml:space="preserve">February 2020, and </w:t>
      </w:r>
      <w:r w:rsidR="000038C0" w:rsidRPr="006F7DC9">
        <w:rPr>
          <w:rFonts w:ascii="Times New Roman" w:eastAsia="Segoe UI" w:hAnsi="Times New Roman" w:cs="Times New Roman"/>
          <w:sz w:val="24"/>
          <w:szCs w:val="24"/>
        </w:rPr>
        <w:t>the</w:t>
      </w:r>
      <w:r w:rsidRPr="006F7DC9">
        <w:rPr>
          <w:rFonts w:ascii="Times New Roman" w:eastAsia="Segoe UI" w:hAnsi="Times New Roman" w:cs="Times New Roman"/>
          <w:sz w:val="24"/>
          <w:szCs w:val="24"/>
        </w:rPr>
        <w:t xml:space="preserve"> current date minus one year. We found that investing in TQQQ alone had heavily biased results, and a more balanced approach was needed for more stable returns. </w:t>
      </w:r>
      <w:r w:rsidRPr="006F7DC9">
        <w:rPr>
          <w:rFonts w:ascii="Times New Roman" w:hAnsi="Times New Roman" w:cs="Times New Roman"/>
          <w:sz w:val="24"/>
          <w:szCs w:val="24"/>
        </w:rPr>
        <w:t xml:space="preserve">   </w:t>
      </w:r>
    </w:p>
    <w:p w14:paraId="690DB352" w14:textId="77777777" w:rsidR="005A3D3E" w:rsidRPr="006F7DC9" w:rsidRDefault="005A3D3E" w:rsidP="006F7DC9">
      <w:pPr>
        <w:spacing w:line="480" w:lineRule="auto"/>
        <w:rPr>
          <w:rFonts w:ascii="Times New Roman" w:eastAsia="Segoe UI" w:hAnsi="Times New Roman" w:cs="Times New Roman"/>
          <w:sz w:val="24"/>
          <w:szCs w:val="24"/>
        </w:rPr>
      </w:pPr>
      <w:r w:rsidRPr="006F7DC9">
        <w:rPr>
          <w:rFonts w:ascii="Times New Roman" w:eastAsia="Segoe UI" w:hAnsi="Times New Roman" w:cs="Times New Roman"/>
          <w:sz w:val="24"/>
          <w:szCs w:val="24"/>
        </w:rPr>
        <w:t>When testing from inception, we found that holding only TQQQ had a CAGR of 37.19%, but this was heavily biased due to rapid growth in 2021 and early 2022. A more sensible investment strategy would be to use a 50/50 gold split for a CAGR of 30.44%. Below pictures CAGR to the left and Cumulate Returns to the right.</w:t>
      </w:r>
    </w:p>
    <w:p w14:paraId="7C37C835" w14:textId="149214D6" w:rsidR="005A3D3E" w:rsidRPr="006F7DC9" w:rsidRDefault="005A3D3E" w:rsidP="005A3D3E">
      <w:pPr>
        <w:spacing w:line="480" w:lineRule="auto"/>
        <w:rPr>
          <w:rFonts w:ascii="Times New Roman" w:eastAsia="Segoe UI" w:hAnsi="Times New Roman" w:cs="Times New Roman"/>
          <w:sz w:val="24"/>
          <w:szCs w:val="24"/>
        </w:rPr>
      </w:pPr>
      <w:r w:rsidRPr="006F7DC9">
        <w:rPr>
          <w:rFonts w:ascii="Times New Roman" w:eastAsia="Segoe UI" w:hAnsi="Times New Roman" w:cs="Times New Roman"/>
          <w:noProof/>
          <w:sz w:val="24"/>
          <w:szCs w:val="24"/>
        </w:rPr>
        <w:drawing>
          <wp:inline distT="0" distB="0" distL="0" distR="0" wp14:anchorId="7024E206" wp14:editId="51FFF285">
            <wp:extent cx="2832100" cy="1765300"/>
            <wp:effectExtent l="0" t="0" r="6350" b="6350"/>
            <wp:docPr id="1981870155" name="Picture 19818701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70155" name="Picture 198187015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2100" cy="1765300"/>
                    </a:xfrm>
                    <a:prstGeom prst="rect">
                      <a:avLst/>
                    </a:prstGeom>
                    <a:noFill/>
                    <a:ln>
                      <a:noFill/>
                    </a:ln>
                  </pic:spPr>
                </pic:pic>
              </a:graphicData>
            </a:graphic>
          </wp:inline>
        </w:drawing>
      </w:r>
      <w:r w:rsidRPr="006F7DC9">
        <w:rPr>
          <w:rFonts w:ascii="Times New Roman" w:eastAsia="Segoe UI" w:hAnsi="Times New Roman" w:cs="Times New Roman"/>
          <w:sz w:val="24"/>
          <w:szCs w:val="24"/>
        </w:rPr>
        <w:t xml:space="preserve"> </w:t>
      </w:r>
      <w:r w:rsidRPr="006F7DC9">
        <w:rPr>
          <w:rFonts w:ascii="Times New Roman" w:hAnsi="Times New Roman" w:cs="Times New Roman"/>
          <w:noProof/>
          <w:sz w:val="24"/>
          <w:szCs w:val="24"/>
        </w:rPr>
        <w:drawing>
          <wp:inline distT="0" distB="0" distL="0" distR="0" wp14:anchorId="43361475" wp14:editId="0CBBA79F">
            <wp:extent cx="2832100" cy="1771650"/>
            <wp:effectExtent l="0" t="0" r="6350" b="0"/>
            <wp:docPr id="271653712" name="Picture 2716537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55033" name="Picture 3"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100" cy="1771650"/>
                    </a:xfrm>
                    <a:prstGeom prst="rect">
                      <a:avLst/>
                    </a:prstGeom>
                    <a:noFill/>
                    <a:ln>
                      <a:noFill/>
                    </a:ln>
                  </pic:spPr>
                </pic:pic>
              </a:graphicData>
            </a:graphic>
          </wp:inline>
        </w:drawing>
      </w:r>
    </w:p>
    <w:p w14:paraId="165F3C96" w14:textId="77777777" w:rsidR="000038C0" w:rsidRPr="006F7DC9" w:rsidRDefault="000038C0" w:rsidP="005A3D3E">
      <w:pPr>
        <w:spacing w:line="480" w:lineRule="auto"/>
        <w:rPr>
          <w:rFonts w:ascii="Times New Roman" w:eastAsia="Segoe UI" w:hAnsi="Times New Roman" w:cs="Times New Roman"/>
          <w:sz w:val="24"/>
          <w:szCs w:val="24"/>
        </w:rPr>
      </w:pPr>
    </w:p>
    <w:p w14:paraId="00543604" w14:textId="16527345" w:rsidR="005A3D3E" w:rsidRPr="006F7DC9" w:rsidRDefault="005A3D3E" w:rsidP="006F7DC9">
      <w:pPr>
        <w:spacing w:line="480" w:lineRule="auto"/>
        <w:rPr>
          <w:rFonts w:ascii="Times New Roman" w:eastAsia="Segoe UI" w:hAnsi="Times New Roman" w:cs="Times New Roman"/>
          <w:sz w:val="24"/>
          <w:szCs w:val="24"/>
        </w:rPr>
      </w:pPr>
      <w:r w:rsidRPr="006F7DC9">
        <w:rPr>
          <w:rFonts w:ascii="Times New Roman" w:eastAsia="Segoe UI" w:hAnsi="Times New Roman" w:cs="Times New Roman"/>
          <w:sz w:val="24"/>
          <w:szCs w:val="24"/>
        </w:rPr>
        <w:t xml:space="preserve">However, trying to time the market proves to be difficult. Investing in TQQQ at its all-time high would have resulted in a CAGR of -55.15%, whereas a 50/50 split with gold had a CAGR of -18.06%; both terrible returns. </w:t>
      </w:r>
    </w:p>
    <w:p w14:paraId="5144D1FD" w14:textId="4E3A58B3" w:rsidR="005A3D3E" w:rsidRPr="006F7DC9" w:rsidRDefault="005A3D3E" w:rsidP="005A3D3E">
      <w:pPr>
        <w:spacing w:line="480" w:lineRule="auto"/>
        <w:rPr>
          <w:rFonts w:ascii="Times New Roman" w:hAnsi="Times New Roman" w:cs="Times New Roman"/>
          <w:sz w:val="24"/>
          <w:szCs w:val="24"/>
        </w:rPr>
      </w:pPr>
      <w:r w:rsidRPr="006F7DC9">
        <w:rPr>
          <w:rFonts w:ascii="Times New Roman" w:hAnsi="Times New Roman" w:cs="Times New Roman"/>
          <w:sz w:val="24"/>
          <w:szCs w:val="24"/>
        </w:rPr>
        <w:t> </w:t>
      </w:r>
      <w:r w:rsidRPr="006F7DC9">
        <w:rPr>
          <w:rFonts w:ascii="Times New Roman" w:eastAsia="Segoe UI" w:hAnsi="Times New Roman" w:cs="Times New Roman"/>
          <w:noProof/>
          <w:sz w:val="24"/>
          <w:szCs w:val="24"/>
        </w:rPr>
        <w:drawing>
          <wp:inline distT="0" distB="0" distL="0" distR="0" wp14:anchorId="12AD8E68" wp14:editId="5D4A0A7D">
            <wp:extent cx="2877185" cy="1536660"/>
            <wp:effectExtent l="0" t="0" r="0" b="6985"/>
            <wp:docPr id="653728192"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28192" name="Picture 4"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898" cy="1551995"/>
                    </a:xfrm>
                    <a:prstGeom prst="rect">
                      <a:avLst/>
                    </a:prstGeom>
                    <a:noFill/>
                    <a:ln>
                      <a:noFill/>
                    </a:ln>
                  </pic:spPr>
                </pic:pic>
              </a:graphicData>
            </a:graphic>
          </wp:inline>
        </w:drawing>
      </w:r>
      <w:r w:rsidRPr="006F7DC9">
        <w:rPr>
          <w:rFonts w:ascii="Times New Roman" w:hAnsi="Times New Roman" w:cs="Times New Roman"/>
          <w:sz w:val="24"/>
          <w:szCs w:val="24"/>
        </w:rPr>
        <w:t xml:space="preserve">  </w:t>
      </w:r>
      <w:r w:rsidRPr="006F7DC9">
        <w:rPr>
          <w:rFonts w:ascii="Times New Roman" w:hAnsi="Times New Roman" w:cs="Times New Roman"/>
          <w:noProof/>
          <w:sz w:val="24"/>
          <w:szCs w:val="24"/>
        </w:rPr>
        <w:drawing>
          <wp:inline distT="0" distB="0" distL="0" distR="0" wp14:anchorId="65D8DBC7" wp14:editId="254BF56F">
            <wp:extent cx="2849880" cy="1542893"/>
            <wp:effectExtent l="0" t="0" r="7620" b="635"/>
            <wp:docPr id="1082251890"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51890" name="Picture 5"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8729" cy="1569339"/>
                    </a:xfrm>
                    <a:prstGeom prst="rect">
                      <a:avLst/>
                    </a:prstGeom>
                    <a:noFill/>
                    <a:ln>
                      <a:noFill/>
                    </a:ln>
                  </pic:spPr>
                </pic:pic>
              </a:graphicData>
            </a:graphic>
          </wp:inline>
        </w:drawing>
      </w:r>
    </w:p>
    <w:p w14:paraId="1F93E5DB" w14:textId="77777777" w:rsidR="000038C0" w:rsidRPr="006F7DC9" w:rsidRDefault="000038C0" w:rsidP="005A3D3E">
      <w:pPr>
        <w:spacing w:line="480" w:lineRule="auto"/>
        <w:rPr>
          <w:rFonts w:ascii="Times New Roman" w:eastAsia="Segoe UI" w:hAnsi="Times New Roman" w:cs="Times New Roman"/>
          <w:sz w:val="24"/>
          <w:szCs w:val="24"/>
        </w:rPr>
      </w:pPr>
    </w:p>
    <w:p w14:paraId="03088DEC" w14:textId="7E05323A" w:rsidR="005A3D3E" w:rsidRPr="006F7DC9" w:rsidRDefault="005A3D3E" w:rsidP="006F7DC9">
      <w:pPr>
        <w:spacing w:line="480" w:lineRule="auto"/>
        <w:rPr>
          <w:rFonts w:ascii="Times New Roman" w:eastAsia="Segoe UI" w:hAnsi="Times New Roman" w:cs="Times New Roman"/>
          <w:sz w:val="24"/>
          <w:szCs w:val="24"/>
        </w:rPr>
      </w:pPr>
      <w:r w:rsidRPr="006F7DC9">
        <w:rPr>
          <w:rFonts w:ascii="Times New Roman" w:eastAsia="Segoe UI" w:hAnsi="Times New Roman" w:cs="Times New Roman"/>
          <w:sz w:val="24"/>
          <w:szCs w:val="24"/>
        </w:rPr>
        <w:t>In contrast, investing during the COVID bear market rally would have yielded a positive CAGR of 11.59% with a 50/50 split and only a slight negative CAGR of -0.43% with TQQQ alone, proving that splits provide a much quicker rebounding effect.</w:t>
      </w:r>
    </w:p>
    <w:p w14:paraId="7A39432A" w14:textId="0F403BCA" w:rsidR="005A3D3E" w:rsidRPr="006F7DC9" w:rsidRDefault="000038C0" w:rsidP="005A3D3E">
      <w:pPr>
        <w:spacing w:line="480" w:lineRule="auto"/>
        <w:rPr>
          <w:rFonts w:ascii="Times New Roman" w:hAnsi="Times New Roman" w:cs="Times New Roman"/>
          <w:sz w:val="24"/>
          <w:szCs w:val="24"/>
        </w:rPr>
      </w:pPr>
      <w:r w:rsidRPr="006F7DC9">
        <w:rPr>
          <w:rFonts w:ascii="Times New Roman" w:hAnsi="Times New Roman" w:cs="Times New Roman"/>
          <w:sz w:val="24"/>
          <w:szCs w:val="24"/>
        </w:rPr>
        <w:t> </w:t>
      </w:r>
      <w:r w:rsidRPr="006F7DC9">
        <w:rPr>
          <w:rFonts w:ascii="Times New Roman" w:eastAsia="Segoe UI" w:hAnsi="Times New Roman" w:cs="Times New Roman"/>
          <w:noProof/>
          <w:sz w:val="24"/>
          <w:szCs w:val="24"/>
        </w:rPr>
        <w:drawing>
          <wp:inline distT="0" distB="0" distL="0" distR="0" wp14:anchorId="6F249650" wp14:editId="76AED7CF">
            <wp:extent cx="2924092" cy="1200150"/>
            <wp:effectExtent l="0" t="0" r="0" b="0"/>
            <wp:docPr id="291624411"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24411" name="Picture 6" descr="A picture containing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9141" cy="1210431"/>
                    </a:xfrm>
                    <a:prstGeom prst="rect">
                      <a:avLst/>
                    </a:prstGeom>
                    <a:noFill/>
                    <a:ln>
                      <a:noFill/>
                    </a:ln>
                  </pic:spPr>
                </pic:pic>
              </a:graphicData>
            </a:graphic>
          </wp:inline>
        </w:drawing>
      </w:r>
      <w:r w:rsidRPr="006F7DC9">
        <w:rPr>
          <w:rFonts w:ascii="Times New Roman" w:hAnsi="Times New Roman" w:cs="Times New Roman"/>
          <w:sz w:val="24"/>
          <w:szCs w:val="24"/>
        </w:rPr>
        <w:t xml:space="preserve">  </w:t>
      </w:r>
      <w:r w:rsidRPr="006F7DC9">
        <w:rPr>
          <w:rFonts w:ascii="Times New Roman" w:hAnsi="Times New Roman" w:cs="Times New Roman"/>
          <w:noProof/>
          <w:sz w:val="24"/>
          <w:szCs w:val="24"/>
        </w:rPr>
        <w:drawing>
          <wp:inline distT="0" distB="0" distL="0" distR="0" wp14:anchorId="754EFA2A" wp14:editId="5D1BDE29">
            <wp:extent cx="2885440" cy="1196975"/>
            <wp:effectExtent l="0" t="0" r="0" b="3175"/>
            <wp:docPr id="6018032"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032" name="Picture 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7906" cy="1197998"/>
                    </a:xfrm>
                    <a:prstGeom prst="rect">
                      <a:avLst/>
                    </a:prstGeom>
                    <a:noFill/>
                    <a:ln>
                      <a:noFill/>
                    </a:ln>
                  </pic:spPr>
                </pic:pic>
              </a:graphicData>
            </a:graphic>
          </wp:inline>
        </w:drawing>
      </w:r>
    </w:p>
    <w:p w14:paraId="62D5BC3E" w14:textId="2BBD2C64" w:rsidR="000038C0" w:rsidRDefault="006F7DC9" w:rsidP="006F7DC9">
      <w:pPr>
        <w:spacing w:line="480" w:lineRule="auto"/>
        <w:rPr>
          <w:rFonts w:ascii="Times New Roman" w:eastAsia="Segoe UI" w:hAnsi="Times New Roman" w:cs="Times New Roman"/>
          <w:sz w:val="24"/>
          <w:szCs w:val="24"/>
        </w:rPr>
      </w:pPr>
      <w:r>
        <w:rPr>
          <w:rFonts w:ascii="Times New Roman" w:eastAsia="Segoe UI" w:hAnsi="Times New Roman" w:cs="Times New Roman"/>
          <w:sz w:val="24"/>
          <w:szCs w:val="24"/>
        </w:rPr>
        <w:t xml:space="preserve">Furthermore, entering a year ago today would also yield </w:t>
      </w:r>
      <w:r w:rsidR="00700C81">
        <w:rPr>
          <w:rFonts w:ascii="Times New Roman" w:eastAsia="Segoe UI" w:hAnsi="Times New Roman" w:cs="Times New Roman"/>
          <w:sz w:val="24"/>
          <w:szCs w:val="24"/>
        </w:rPr>
        <w:t xml:space="preserve">poor performance across all indices and splits, with gold showing to be the only inflationary hedge. </w:t>
      </w:r>
    </w:p>
    <w:p w14:paraId="68A1A831" w14:textId="2F77D8E7" w:rsidR="00700C81" w:rsidRPr="006F7DC9" w:rsidRDefault="00700C81" w:rsidP="006F7DC9">
      <w:pPr>
        <w:spacing w:line="480" w:lineRule="auto"/>
        <w:rPr>
          <w:rFonts w:ascii="Times New Roman" w:eastAsia="Segoe UI" w:hAnsi="Times New Roman" w:cs="Times New Roman"/>
          <w:sz w:val="24"/>
          <w:szCs w:val="24"/>
        </w:rPr>
      </w:pPr>
      <w:r>
        <w:t> </w:t>
      </w:r>
      <w:r>
        <w:rPr>
          <w:rFonts w:eastAsia="Segoe UI"/>
          <w:noProof/>
        </w:rPr>
        <w:drawing>
          <wp:inline distT="0" distB="0" distL="0" distR="0" wp14:anchorId="1603FE33" wp14:editId="0A798A40">
            <wp:extent cx="2524125" cy="1286949"/>
            <wp:effectExtent l="0" t="0" r="0" b="8890"/>
            <wp:docPr id="982570206"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70206" name="Picture 1" descr="Tex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52" cy="1301545"/>
                    </a:xfrm>
                    <a:prstGeom prst="rect">
                      <a:avLst/>
                    </a:prstGeom>
                    <a:noFill/>
                    <a:ln>
                      <a:noFill/>
                    </a:ln>
                  </pic:spPr>
                </pic:pic>
              </a:graphicData>
            </a:graphic>
          </wp:inline>
        </w:drawing>
      </w:r>
      <w:r>
        <w:t xml:space="preserve">  </w:t>
      </w:r>
      <w:r>
        <w:rPr>
          <w:noProof/>
        </w:rPr>
        <w:drawing>
          <wp:inline distT="0" distB="0" distL="0" distR="0" wp14:anchorId="2D958C2D" wp14:editId="3CB0FD6D">
            <wp:extent cx="3154680" cy="1289036"/>
            <wp:effectExtent l="0" t="0" r="7620" b="6985"/>
            <wp:docPr id="165874264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42643" name="Picture 2"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051" cy="1295725"/>
                    </a:xfrm>
                    <a:prstGeom prst="rect">
                      <a:avLst/>
                    </a:prstGeom>
                    <a:noFill/>
                    <a:ln>
                      <a:noFill/>
                    </a:ln>
                  </pic:spPr>
                </pic:pic>
              </a:graphicData>
            </a:graphic>
          </wp:inline>
        </w:drawing>
      </w:r>
    </w:p>
    <w:p w14:paraId="234F5AAE" w14:textId="303A4A63" w:rsidR="005A3D3E" w:rsidRDefault="005A3D3E" w:rsidP="005A3D3E">
      <w:pPr>
        <w:spacing w:line="480" w:lineRule="auto"/>
        <w:rPr>
          <w:rFonts w:ascii="Times New Roman" w:eastAsia="Segoe UI" w:hAnsi="Times New Roman" w:cs="Times New Roman"/>
          <w:sz w:val="24"/>
          <w:szCs w:val="24"/>
        </w:rPr>
      </w:pPr>
      <w:r w:rsidRPr="006F7DC9">
        <w:rPr>
          <w:rFonts w:ascii="Times New Roman" w:eastAsia="Segoe UI" w:hAnsi="Times New Roman" w:cs="Times New Roman"/>
          <w:sz w:val="24"/>
          <w:szCs w:val="24"/>
        </w:rPr>
        <w:t xml:space="preserve">To further analyze TQQQ's performance, we conducted a Monte Carlo Simulation using 100 random date intervals since its inception. This allowed us to calculate the average CAGR for each split and provided additional insight into the potential returns and risks associated with each approach. </w:t>
      </w:r>
      <w:r w:rsidR="00700C81">
        <w:rPr>
          <w:rFonts w:ascii="Times New Roman" w:eastAsia="Segoe UI" w:hAnsi="Times New Roman" w:cs="Times New Roman"/>
          <w:sz w:val="24"/>
          <w:szCs w:val="24"/>
        </w:rPr>
        <w:t>We encourage readers to test the following CAGR’s combined with their own investment plans to see what they should consider investing in given their own financial goals(</w:t>
      </w:r>
      <w:hyperlink r:id="rId19" w:history="1">
        <w:r w:rsidR="00700C81" w:rsidRPr="00700C81">
          <w:rPr>
            <w:rStyle w:val="Hyperlink"/>
            <w:rFonts w:ascii="Times New Roman" w:eastAsia="Segoe UI" w:hAnsi="Times New Roman" w:cs="Times New Roman"/>
            <w:sz w:val="24"/>
            <w:szCs w:val="24"/>
          </w:rPr>
          <w:t>Interactive Investment Calculator</w:t>
        </w:r>
      </w:hyperlink>
      <w:r w:rsidR="00700C81">
        <w:rPr>
          <w:rFonts w:ascii="Times New Roman" w:eastAsia="Segoe UI" w:hAnsi="Times New Roman" w:cs="Times New Roman"/>
          <w:sz w:val="24"/>
          <w:szCs w:val="24"/>
        </w:rPr>
        <w:t xml:space="preserve">). </w:t>
      </w:r>
    </w:p>
    <w:p w14:paraId="3D472E5F" w14:textId="6ECAD977" w:rsidR="00700C81" w:rsidRPr="00700C81" w:rsidRDefault="00700C81" w:rsidP="005A3D3E">
      <w:pPr>
        <w:spacing w:line="480" w:lineRule="auto"/>
      </w:pPr>
      <w:r>
        <w:t> </w:t>
      </w:r>
      <w:r>
        <w:rPr>
          <w:rFonts w:eastAsia="Segoe UI"/>
          <w:noProof/>
        </w:rPr>
        <w:drawing>
          <wp:inline distT="0" distB="0" distL="0" distR="0" wp14:anchorId="52AE79CA" wp14:editId="534071EC">
            <wp:extent cx="2524125" cy="1652701"/>
            <wp:effectExtent l="0" t="0" r="0" b="5080"/>
            <wp:docPr id="393871440"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71440" name="Picture 3"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9208" cy="1669124"/>
                    </a:xfrm>
                    <a:prstGeom prst="rect">
                      <a:avLst/>
                    </a:prstGeom>
                    <a:noFill/>
                    <a:ln>
                      <a:noFill/>
                    </a:ln>
                  </pic:spPr>
                </pic:pic>
              </a:graphicData>
            </a:graphic>
          </wp:inline>
        </w:drawing>
      </w:r>
    </w:p>
    <w:p w14:paraId="50D7A1DE" w14:textId="57B03808" w:rsidR="00700C81" w:rsidRDefault="00700C81" w:rsidP="006F7DC9">
      <w:pPr>
        <w:spacing w:line="480" w:lineRule="auto"/>
        <w:rPr>
          <w:rFonts w:ascii="Times New Roman" w:eastAsia="Segoe UI" w:hAnsi="Times New Roman" w:cs="Times New Roman"/>
          <w:sz w:val="24"/>
          <w:szCs w:val="24"/>
        </w:rPr>
      </w:pPr>
      <w:r>
        <w:rPr>
          <w:rFonts w:ascii="Times New Roman" w:eastAsia="Segoe UI" w:hAnsi="Times New Roman" w:cs="Times New Roman"/>
          <w:b/>
          <w:bCs/>
          <w:sz w:val="24"/>
          <w:szCs w:val="24"/>
        </w:rPr>
        <w:t>Concluding</w:t>
      </w:r>
      <w:r w:rsidR="346A2F06" w:rsidRPr="006F7DC9">
        <w:rPr>
          <w:rFonts w:ascii="Times New Roman" w:eastAsia="Segoe UI" w:hAnsi="Times New Roman" w:cs="Times New Roman"/>
          <w:b/>
          <w:bCs/>
          <w:sz w:val="24"/>
          <w:szCs w:val="24"/>
        </w:rPr>
        <w:t xml:space="preserve"> Thoughts </w:t>
      </w:r>
      <w:r>
        <w:rPr>
          <w:rFonts w:ascii="Times New Roman" w:eastAsia="Segoe UI" w:hAnsi="Times New Roman" w:cs="Times New Roman"/>
          <w:sz w:val="24"/>
          <w:szCs w:val="24"/>
        </w:rPr>
        <w:t xml:space="preserve"> </w:t>
      </w:r>
    </w:p>
    <w:p w14:paraId="2F4386CB" w14:textId="2CC451C0" w:rsidR="3AB1340B" w:rsidRDefault="009F183A" w:rsidP="009F183A">
      <w:pPr>
        <w:spacing w:line="480" w:lineRule="auto"/>
        <w:rPr>
          <w:rFonts w:ascii="Times New Roman" w:eastAsia="Segoe UI" w:hAnsi="Times New Roman" w:cs="Times New Roman"/>
          <w:sz w:val="24"/>
          <w:szCs w:val="24"/>
        </w:rPr>
      </w:pPr>
      <w:r>
        <w:rPr>
          <w:rFonts w:ascii="Times New Roman" w:eastAsia="Segoe UI" w:hAnsi="Times New Roman" w:cs="Times New Roman"/>
          <w:sz w:val="24"/>
          <w:szCs w:val="24"/>
        </w:rPr>
        <w:t xml:space="preserve">Firstly, we need </w:t>
      </w:r>
      <w:r w:rsidRPr="009F183A">
        <w:rPr>
          <w:rFonts w:ascii="Times New Roman" w:eastAsia="Segoe UI" w:hAnsi="Times New Roman" w:cs="Times New Roman"/>
          <w:sz w:val="24"/>
          <w:szCs w:val="24"/>
        </w:rPr>
        <w:t>to recognize that when it comes to investing, there's no one-size-fits-all approach. Each investor has their own financial goals and time horizons to meet those goals, which means that their investment strategy should be tailored to their unique needs.</w:t>
      </w:r>
      <w:r>
        <w:rPr>
          <w:rFonts w:ascii="Times New Roman" w:eastAsia="Segoe UI" w:hAnsi="Times New Roman" w:cs="Times New Roman"/>
          <w:sz w:val="24"/>
          <w:szCs w:val="24"/>
        </w:rPr>
        <w:t xml:space="preserve"> </w:t>
      </w:r>
      <w:r w:rsidRPr="009F183A">
        <w:rPr>
          <w:rFonts w:ascii="Times New Roman" w:eastAsia="Segoe UI" w:hAnsi="Times New Roman" w:cs="Times New Roman"/>
          <w:sz w:val="24"/>
          <w:szCs w:val="24"/>
        </w:rPr>
        <w:t>For instance, younger investors in their 20s who have a higher risk tolerance may consider allocating a larger percentage of their portfolio into high-risk investments like TQQQ or even going all-in on it. This is because they have more time for the market to recover in the event of a dip.</w:t>
      </w:r>
      <w:r>
        <w:rPr>
          <w:rFonts w:ascii="Times New Roman" w:eastAsia="Segoe UI" w:hAnsi="Times New Roman" w:cs="Times New Roman"/>
          <w:sz w:val="24"/>
          <w:szCs w:val="24"/>
        </w:rPr>
        <w:t xml:space="preserve"> </w:t>
      </w:r>
      <w:r w:rsidRPr="009F183A">
        <w:rPr>
          <w:rFonts w:ascii="Times New Roman" w:eastAsia="Segoe UI" w:hAnsi="Times New Roman" w:cs="Times New Roman"/>
          <w:sz w:val="24"/>
          <w:szCs w:val="24"/>
        </w:rPr>
        <w:t>On the other hand, more moderate-risk tolerant investors may want to consider a more balanced approach by combining TQQQ with more traditional ETFs. This approach can help balance risk while still providing potential for growth.</w:t>
      </w:r>
      <w:r>
        <w:rPr>
          <w:rFonts w:ascii="Times New Roman" w:eastAsia="Segoe UI" w:hAnsi="Times New Roman" w:cs="Times New Roman"/>
          <w:sz w:val="24"/>
          <w:szCs w:val="24"/>
        </w:rPr>
        <w:t xml:space="preserve"> </w:t>
      </w:r>
      <w:r w:rsidRPr="009F183A">
        <w:rPr>
          <w:rFonts w:ascii="Times New Roman" w:eastAsia="Segoe UI" w:hAnsi="Times New Roman" w:cs="Times New Roman"/>
          <w:sz w:val="24"/>
          <w:szCs w:val="24"/>
        </w:rPr>
        <w:t>Finally, for investors who are more risk-averse or approaching retirement, sticking to traditional ETFs may be the most suitable option as they are more stable and have lower risk profiles. Ultimately, it's important for each investor to assess their own risk tolerance and investment goals to determine the best strategy for their needs.</w:t>
      </w:r>
      <w:r>
        <w:rPr>
          <w:rFonts w:ascii="Times New Roman" w:eastAsia="Segoe UI" w:hAnsi="Times New Roman" w:cs="Times New Roman"/>
          <w:sz w:val="24"/>
          <w:szCs w:val="24"/>
        </w:rPr>
        <w:t xml:space="preserve"> </w:t>
      </w:r>
    </w:p>
    <w:p w14:paraId="294BCB5E" w14:textId="7A216852" w:rsidR="009F183A" w:rsidRDefault="009F183A" w:rsidP="009F183A">
      <w:pPr>
        <w:spacing w:line="480" w:lineRule="auto"/>
        <w:rPr>
          <w:rFonts w:ascii="Times New Roman" w:eastAsia="Segoe UI" w:hAnsi="Times New Roman" w:cs="Times New Roman"/>
          <w:b/>
          <w:bCs/>
          <w:sz w:val="24"/>
          <w:szCs w:val="24"/>
        </w:rPr>
      </w:pPr>
      <w:r w:rsidRPr="009F183A">
        <w:rPr>
          <w:rFonts w:ascii="Times New Roman" w:eastAsia="Segoe UI" w:hAnsi="Times New Roman" w:cs="Times New Roman"/>
          <w:b/>
          <w:bCs/>
          <w:sz w:val="24"/>
          <w:szCs w:val="24"/>
        </w:rPr>
        <w:t>GitHub Link</w:t>
      </w:r>
    </w:p>
    <w:p w14:paraId="588BE26B" w14:textId="1B40313E" w:rsidR="009F183A" w:rsidRPr="009F183A" w:rsidRDefault="00000000" w:rsidP="009F183A">
      <w:pPr>
        <w:spacing w:line="480" w:lineRule="auto"/>
        <w:rPr>
          <w:rFonts w:ascii="Times New Roman" w:eastAsia="Segoe UI" w:hAnsi="Times New Roman" w:cs="Times New Roman"/>
          <w:b/>
          <w:bCs/>
          <w:sz w:val="24"/>
          <w:szCs w:val="24"/>
        </w:rPr>
      </w:pPr>
      <w:hyperlink r:id="rId21" w:history="1">
        <w:r w:rsidR="009F183A" w:rsidRPr="009F183A">
          <w:rPr>
            <w:rStyle w:val="Hyperlink"/>
            <w:rFonts w:ascii="Times New Roman" w:eastAsia="Segoe UI" w:hAnsi="Times New Roman" w:cs="Times New Roman"/>
            <w:b/>
            <w:bCs/>
            <w:sz w:val="24"/>
            <w:szCs w:val="24"/>
          </w:rPr>
          <w:t>Click Here For Code</w:t>
        </w:r>
      </w:hyperlink>
    </w:p>
    <w:sectPr w:rsidR="009F183A" w:rsidRPr="009F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22E203"/>
    <w:rsid w:val="000038C0"/>
    <w:rsid w:val="00042524"/>
    <w:rsid w:val="002A2311"/>
    <w:rsid w:val="005A3D3E"/>
    <w:rsid w:val="006F7DC9"/>
    <w:rsid w:val="00700C81"/>
    <w:rsid w:val="0091D422"/>
    <w:rsid w:val="009F183A"/>
    <w:rsid w:val="00B337F1"/>
    <w:rsid w:val="00E435A2"/>
    <w:rsid w:val="00FA2409"/>
    <w:rsid w:val="012DA42F"/>
    <w:rsid w:val="01CE16E9"/>
    <w:rsid w:val="01DBC45B"/>
    <w:rsid w:val="0209C270"/>
    <w:rsid w:val="021C66BC"/>
    <w:rsid w:val="023126E4"/>
    <w:rsid w:val="038BE19E"/>
    <w:rsid w:val="0422E25E"/>
    <w:rsid w:val="0539A853"/>
    <w:rsid w:val="05D11D8F"/>
    <w:rsid w:val="069F8FCE"/>
    <w:rsid w:val="06AA9752"/>
    <w:rsid w:val="06B81043"/>
    <w:rsid w:val="070DBB01"/>
    <w:rsid w:val="071D3A08"/>
    <w:rsid w:val="073F98E1"/>
    <w:rsid w:val="078B653B"/>
    <w:rsid w:val="0817E2CF"/>
    <w:rsid w:val="08906305"/>
    <w:rsid w:val="0960CCEF"/>
    <w:rsid w:val="0AAF73A4"/>
    <w:rsid w:val="0C247B7D"/>
    <w:rsid w:val="0D2B91DB"/>
    <w:rsid w:val="0E4FA995"/>
    <w:rsid w:val="113DF6EF"/>
    <w:rsid w:val="11981715"/>
    <w:rsid w:val="12E558DE"/>
    <w:rsid w:val="139AD35F"/>
    <w:rsid w:val="1440D3C1"/>
    <w:rsid w:val="14A893AF"/>
    <w:rsid w:val="14C6D89F"/>
    <w:rsid w:val="159F7AF7"/>
    <w:rsid w:val="16118783"/>
    <w:rsid w:val="166E5531"/>
    <w:rsid w:val="16E0533A"/>
    <w:rsid w:val="175EC94C"/>
    <w:rsid w:val="1785038E"/>
    <w:rsid w:val="1836DD8E"/>
    <w:rsid w:val="18C2A55F"/>
    <w:rsid w:val="18D71BB9"/>
    <w:rsid w:val="19A83F1F"/>
    <w:rsid w:val="1AB6DD4B"/>
    <w:rsid w:val="1D91647F"/>
    <w:rsid w:val="1E966249"/>
    <w:rsid w:val="1E9C6761"/>
    <w:rsid w:val="1F6D2C41"/>
    <w:rsid w:val="20B894EE"/>
    <w:rsid w:val="20E22D9E"/>
    <w:rsid w:val="21097753"/>
    <w:rsid w:val="210D4060"/>
    <w:rsid w:val="21A55BA7"/>
    <w:rsid w:val="227DFDFF"/>
    <w:rsid w:val="22BBD1E2"/>
    <w:rsid w:val="22D300D5"/>
    <w:rsid w:val="2369D36C"/>
    <w:rsid w:val="23D7FE9F"/>
    <w:rsid w:val="2556DD65"/>
    <w:rsid w:val="259C7664"/>
    <w:rsid w:val="25B55698"/>
    <w:rsid w:val="27345E9E"/>
    <w:rsid w:val="27703788"/>
    <w:rsid w:val="27BF9A55"/>
    <w:rsid w:val="2998614E"/>
    <w:rsid w:val="29C7DA19"/>
    <w:rsid w:val="29D914F0"/>
    <w:rsid w:val="2A2E17C6"/>
    <w:rsid w:val="2A6FE787"/>
    <w:rsid w:val="2A958FF6"/>
    <w:rsid w:val="2ADE12BA"/>
    <w:rsid w:val="2C021080"/>
    <w:rsid w:val="2D65065F"/>
    <w:rsid w:val="2DE0969E"/>
    <w:rsid w:val="2E98A9CD"/>
    <w:rsid w:val="2EFDC3CC"/>
    <w:rsid w:val="2F48C897"/>
    <w:rsid w:val="2FD2FF73"/>
    <w:rsid w:val="315E958B"/>
    <w:rsid w:val="32382B8B"/>
    <w:rsid w:val="32DC973C"/>
    <w:rsid w:val="330D6732"/>
    <w:rsid w:val="342349DF"/>
    <w:rsid w:val="346A2F06"/>
    <w:rsid w:val="34C8BCFF"/>
    <w:rsid w:val="3523B51D"/>
    <w:rsid w:val="35800C3B"/>
    <w:rsid w:val="36A4E1E5"/>
    <w:rsid w:val="37A496C5"/>
    <w:rsid w:val="3812B8F8"/>
    <w:rsid w:val="38A42DAB"/>
    <w:rsid w:val="3A6F75B1"/>
    <w:rsid w:val="3A80A848"/>
    <w:rsid w:val="3AB1340B"/>
    <w:rsid w:val="3B92F6A1"/>
    <w:rsid w:val="3C19FC0C"/>
    <w:rsid w:val="3CCC48BF"/>
    <w:rsid w:val="3D2EC702"/>
    <w:rsid w:val="3DA2AD12"/>
    <w:rsid w:val="3E017412"/>
    <w:rsid w:val="3E65EBF5"/>
    <w:rsid w:val="3E88C7A2"/>
    <w:rsid w:val="3EBBD2C0"/>
    <w:rsid w:val="40191842"/>
    <w:rsid w:val="4144D4BF"/>
    <w:rsid w:val="427FE25F"/>
    <w:rsid w:val="431C913D"/>
    <w:rsid w:val="439E0886"/>
    <w:rsid w:val="44D9837B"/>
    <w:rsid w:val="44DEE0C9"/>
    <w:rsid w:val="47197147"/>
    <w:rsid w:val="473AAB41"/>
    <w:rsid w:val="49C279D8"/>
    <w:rsid w:val="4A3D462A"/>
    <w:rsid w:val="4E862A70"/>
    <w:rsid w:val="4F0A6EBB"/>
    <w:rsid w:val="4FA22D66"/>
    <w:rsid w:val="4FAB5133"/>
    <w:rsid w:val="525C23EE"/>
    <w:rsid w:val="53F7F44F"/>
    <w:rsid w:val="5450027A"/>
    <w:rsid w:val="548F2857"/>
    <w:rsid w:val="552C65BC"/>
    <w:rsid w:val="55D3DD98"/>
    <w:rsid w:val="55E8C786"/>
    <w:rsid w:val="566AFAAF"/>
    <w:rsid w:val="567F9A1D"/>
    <w:rsid w:val="56955990"/>
    <w:rsid w:val="576B6F8A"/>
    <w:rsid w:val="58E8B24E"/>
    <w:rsid w:val="5AE4E00D"/>
    <w:rsid w:val="5BEE66C6"/>
    <w:rsid w:val="5DC1CCDA"/>
    <w:rsid w:val="5DD338B5"/>
    <w:rsid w:val="5FAA78E3"/>
    <w:rsid w:val="60D32429"/>
    <w:rsid w:val="6117A494"/>
    <w:rsid w:val="61E4290C"/>
    <w:rsid w:val="6261E6F6"/>
    <w:rsid w:val="6394AB81"/>
    <w:rsid w:val="641E1D0E"/>
    <w:rsid w:val="651117DA"/>
    <w:rsid w:val="6522E203"/>
    <w:rsid w:val="66CD38A5"/>
    <w:rsid w:val="68D04E65"/>
    <w:rsid w:val="691DCB16"/>
    <w:rsid w:val="698C6C16"/>
    <w:rsid w:val="6A1126A8"/>
    <w:rsid w:val="6AA207AC"/>
    <w:rsid w:val="6B02F15D"/>
    <w:rsid w:val="6B38E883"/>
    <w:rsid w:val="6B697524"/>
    <w:rsid w:val="6B845422"/>
    <w:rsid w:val="6C6C8BF1"/>
    <w:rsid w:val="6D359455"/>
    <w:rsid w:val="6D486200"/>
    <w:rsid w:val="70CEB000"/>
    <w:rsid w:val="7144D0AA"/>
    <w:rsid w:val="71A1A051"/>
    <w:rsid w:val="71DD8479"/>
    <w:rsid w:val="730F1437"/>
    <w:rsid w:val="7349DDBB"/>
    <w:rsid w:val="73850D3F"/>
    <w:rsid w:val="73B22411"/>
    <w:rsid w:val="73FB0647"/>
    <w:rsid w:val="74FC3A2D"/>
    <w:rsid w:val="758FD800"/>
    <w:rsid w:val="75C83638"/>
    <w:rsid w:val="76F79736"/>
    <w:rsid w:val="790332B8"/>
    <w:rsid w:val="7A7D4EB6"/>
    <w:rsid w:val="7AD06555"/>
    <w:rsid w:val="7ADD23A9"/>
    <w:rsid w:val="7B54EFA0"/>
    <w:rsid w:val="7B7CE17B"/>
    <w:rsid w:val="7DA25487"/>
    <w:rsid w:val="7EF9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34BC"/>
  <w15:chartTrackingRefBased/>
  <w15:docId w15:val="{BD0EE525-616B-46E1-B196-4EC1DFE7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311"/>
    <w:rPr>
      <w:color w:val="0563C1" w:themeColor="hyperlink"/>
      <w:u w:val="single"/>
    </w:rPr>
  </w:style>
  <w:style w:type="character" w:styleId="UnresolvedMention">
    <w:name w:val="Unresolved Mention"/>
    <w:basedOn w:val="DefaultParagraphFont"/>
    <w:uiPriority w:val="99"/>
    <w:semiHidden/>
    <w:unhideWhenUsed/>
    <w:rsid w:val="002A2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21755">
      <w:bodyDiv w:val="1"/>
      <w:marLeft w:val="0"/>
      <w:marRight w:val="0"/>
      <w:marTop w:val="0"/>
      <w:marBottom w:val="0"/>
      <w:divBdr>
        <w:top w:val="none" w:sz="0" w:space="0" w:color="auto"/>
        <w:left w:val="none" w:sz="0" w:space="0" w:color="auto"/>
        <w:bottom w:val="none" w:sz="0" w:space="0" w:color="auto"/>
        <w:right w:val="none" w:sz="0" w:space="0" w:color="auto"/>
      </w:divBdr>
    </w:div>
    <w:div w:id="1135490546">
      <w:bodyDiv w:val="1"/>
      <w:marLeft w:val="0"/>
      <w:marRight w:val="0"/>
      <w:marTop w:val="0"/>
      <w:marBottom w:val="0"/>
      <w:divBdr>
        <w:top w:val="none" w:sz="0" w:space="0" w:color="auto"/>
        <w:left w:val="none" w:sz="0" w:space="0" w:color="auto"/>
        <w:bottom w:val="none" w:sz="0" w:space="0" w:color="auto"/>
        <w:right w:val="none" w:sz="0" w:space="0" w:color="auto"/>
      </w:divBdr>
      <w:divsChild>
        <w:div w:id="1442720813">
          <w:marLeft w:val="0"/>
          <w:marRight w:val="0"/>
          <w:marTop w:val="0"/>
          <w:marBottom w:val="0"/>
          <w:divBdr>
            <w:top w:val="none" w:sz="0" w:space="0" w:color="auto"/>
            <w:left w:val="none" w:sz="0" w:space="0" w:color="auto"/>
            <w:bottom w:val="none" w:sz="0" w:space="0" w:color="auto"/>
            <w:right w:val="none" w:sz="0" w:space="0" w:color="auto"/>
          </w:divBdr>
          <w:divsChild>
            <w:div w:id="20855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0732">
      <w:bodyDiv w:val="1"/>
      <w:marLeft w:val="0"/>
      <w:marRight w:val="0"/>
      <w:marTop w:val="0"/>
      <w:marBottom w:val="0"/>
      <w:divBdr>
        <w:top w:val="none" w:sz="0" w:space="0" w:color="auto"/>
        <w:left w:val="none" w:sz="0" w:space="0" w:color="auto"/>
        <w:bottom w:val="none" w:sz="0" w:space="0" w:color="auto"/>
        <w:right w:val="none" w:sz="0" w:space="0" w:color="auto"/>
      </w:divBdr>
      <w:divsChild>
        <w:div w:id="511915484">
          <w:marLeft w:val="0"/>
          <w:marRight w:val="0"/>
          <w:marTop w:val="0"/>
          <w:marBottom w:val="0"/>
          <w:divBdr>
            <w:top w:val="none" w:sz="0" w:space="0" w:color="auto"/>
            <w:left w:val="none" w:sz="0" w:space="0" w:color="auto"/>
            <w:bottom w:val="none" w:sz="0" w:space="0" w:color="auto"/>
            <w:right w:val="none" w:sz="0" w:space="0" w:color="auto"/>
          </w:divBdr>
          <w:divsChild>
            <w:div w:id="5352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xion.com/product/daily-sp-500-bull-bear-3x-etfs?keyword=s%26p%20500%20index%20fund&amp;gad=1&amp;gclid=CjwKCAjw3ueiBhBmEiwA4BhspO6aPFbjFJ5rl_xbFMaCq5ihFbmE6zXDs9A5eLbfNZ_5GhDXqgGtZRoC1asQAvD_BwE"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github.com/bja107/DASC_2103/blob/main/DASC_2103_Project.ipynb" TargetMode="External"/><Relationship Id="rId7" Type="http://schemas.openxmlformats.org/officeDocument/2006/relationships/hyperlink" Target="https://www.invesco.com/qqq-etf/en/about.html"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microsoft.com/office/2020/10/relationships/intelligence" Target="intelligence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www.proshares.com/our-etfs/leveraged-and-inverse/tqqq" TargetMode="External"/><Relationship Id="rId19" Type="http://schemas.openxmlformats.org/officeDocument/2006/relationships/hyperlink" Target="https://www.calculator.net/investment-calculator.html" TargetMode="External"/><Relationship Id="rId4" Type="http://schemas.openxmlformats.org/officeDocument/2006/relationships/styles" Target="styles.xml"/><Relationship Id="rId9" Type="http://schemas.openxmlformats.org/officeDocument/2006/relationships/hyperlink" Target="https://www.spdrgoldshares.com/usa/financial-information/"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4d2d1a0-e55d-461f-a9c2-c4b4da411207">
      <Terms xmlns="http://schemas.microsoft.com/office/infopath/2007/PartnerControls"/>
    </lcf76f155ced4ddcb4097134ff3c332f>
    <TaxCatchAll xmlns="2b41ca79-40d6-4c76-998c-9c4988c3c0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F85075F66DCF49893A1DE86A41D1FC" ma:contentTypeVersion="8" ma:contentTypeDescription="Create a new document." ma:contentTypeScope="" ma:versionID="0553dfe2c88af3fb59614b02d5dc721f">
  <xsd:schema xmlns:xsd="http://www.w3.org/2001/XMLSchema" xmlns:xs="http://www.w3.org/2001/XMLSchema" xmlns:p="http://schemas.microsoft.com/office/2006/metadata/properties" xmlns:ns2="44d2d1a0-e55d-461f-a9c2-c4b4da411207" xmlns:ns3="2b41ca79-40d6-4c76-998c-9c4988c3c000" targetNamespace="http://schemas.microsoft.com/office/2006/metadata/properties" ma:root="true" ma:fieldsID="1edc0ce237a3321f323f64c0c277b368" ns2:_="" ns3:_="">
    <xsd:import namespace="44d2d1a0-e55d-461f-a9c2-c4b4da411207"/>
    <xsd:import namespace="2b41ca79-40d6-4c76-998c-9c4988c3c00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2d1a0-e55d-461f-a9c2-c4b4da4112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d03f021-7260-47c4-a966-efcc8f4531e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41ca79-40d6-4c76-998c-9c4988c3c00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283c7ec-d136-4708-bcb8-9dfc7ec4157e}" ma:internalName="TaxCatchAll" ma:showField="CatchAllData" ma:web="2b41ca79-40d6-4c76-998c-9c4988c3c0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85C881-7537-45BA-9979-A956CEC6944B}">
  <ds:schemaRefs>
    <ds:schemaRef ds:uri="http://schemas.microsoft.com/office/2006/metadata/properties"/>
    <ds:schemaRef ds:uri="http://schemas.microsoft.com/office/infopath/2007/PartnerControls"/>
    <ds:schemaRef ds:uri="44d2d1a0-e55d-461f-a9c2-c4b4da411207"/>
    <ds:schemaRef ds:uri="2b41ca79-40d6-4c76-998c-9c4988c3c000"/>
  </ds:schemaRefs>
</ds:datastoreItem>
</file>

<file path=customXml/itemProps2.xml><?xml version="1.0" encoding="utf-8"?>
<ds:datastoreItem xmlns:ds="http://schemas.openxmlformats.org/officeDocument/2006/customXml" ds:itemID="{0F1139E7-C748-4950-90EB-FFBC6F75ADD3}">
  <ds:schemaRefs>
    <ds:schemaRef ds:uri="http://schemas.microsoft.com/sharepoint/v3/contenttype/forms"/>
  </ds:schemaRefs>
</ds:datastoreItem>
</file>

<file path=customXml/itemProps3.xml><?xml version="1.0" encoding="utf-8"?>
<ds:datastoreItem xmlns:ds="http://schemas.openxmlformats.org/officeDocument/2006/customXml" ds:itemID="{C1734DBE-34B3-4A94-87EA-80DDC86B4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d2d1a0-e55d-461f-a9c2-c4b4da411207"/>
    <ds:schemaRef ds:uri="2b41ca79-40d6-4c76-998c-9c4988c3c0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Bradly Andrews</dc:creator>
  <cp:keywords/>
  <dc:description/>
  <cp:lastModifiedBy>Sterling Hayden</cp:lastModifiedBy>
  <cp:revision>6</cp:revision>
  <dcterms:created xsi:type="dcterms:W3CDTF">2023-05-04T15:52:00Z</dcterms:created>
  <dcterms:modified xsi:type="dcterms:W3CDTF">2023-09-13T22:52:00Z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0x0101000FF85075F66DCF49893A1DE86A41D1FC</vt:lpwstr>
  </property>
  <property fmtid="{D5CDD505-2E9C-101B-9397-08002B2CF9AE}" pid="3" name="MediaServiceImageTags">
    <vt:lpwstr/>
  </property>
</Properties>
</file>