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</w:pPr>
      <w:r>
        <w:t>Versuchsplanung: 13.10.2022</w:t>
      </w:r>
    </w:p>
    <w:p>
      <w:pPr>
        <w:spacing w:after="0"/>
      </w:pPr>
      <w:r>
        <w:t xml:space="preserve">Versuchsdurchführung: </w:t>
      </w:r>
    </w:p>
    <w:p>
      <w:pPr>
        <w:spacing w:after="0"/>
      </w:pPr>
      <w:r>
        <w:t xml:space="preserve">Assay: </w:t>
      </w:r>
      <w:proofErr w:type="spellStart"/>
      <w:r>
        <w:t>Pox</w:t>
      </w:r>
      <w:proofErr w:type="spellEnd"/>
      <w:r>
        <w:t>-Multiplex</w:t>
      </w:r>
    </w:p>
    <w:p>
      <w:pPr>
        <w:spacing w:after="0"/>
      </w:pPr>
      <w:r>
        <w:t>Operatoren: JL</w:t>
      </w:r>
    </w:p>
    <w:p>
      <w:pPr>
        <w:spacing w:after="0"/>
      </w:pPr>
    </w:p>
    <w:p>
      <w:pPr>
        <w:spacing w:after="0"/>
      </w:pPr>
      <w:r>
        <w:rPr>
          <w:b/>
          <w:sz w:val="28"/>
        </w:rPr>
        <w:t>Kopplungskontrolle der rekombinanten Pockenvirusproteine</w:t>
      </w:r>
    </w:p>
    <w:p>
      <w:pPr>
        <w:spacing w:after="0"/>
        <w:rPr>
          <w:b/>
        </w:rPr>
      </w:pPr>
      <w:bookmarkStart w:id="0" w:name="_GoBack"/>
      <w:bookmarkEnd w:id="0"/>
    </w:p>
    <w:p>
      <w:pPr>
        <w:spacing w:after="0"/>
        <w:rPr>
          <w:b/>
        </w:rPr>
      </w:pPr>
      <w:r>
        <w:rPr>
          <w:b/>
        </w:rPr>
        <w:t xml:space="preserve">Hintergrund: </w:t>
      </w:r>
    </w:p>
    <w:p>
      <w:pPr>
        <w:spacing w:after="0"/>
      </w:pPr>
      <w:r>
        <w:t xml:space="preserve">Nachdem im ersten Experiment die Kopplungskontrolle für die </w:t>
      </w:r>
      <w:proofErr w:type="spellStart"/>
      <w:r>
        <w:t>biotinylierten</w:t>
      </w:r>
      <w:proofErr w:type="spellEnd"/>
      <w:r>
        <w:t xml:space="preserve"> Antikörper die Signale etwas schwach waren, soll dieses Teilexperiment hier noch einmal wiederholt werden. Hierbei sollen die Konzentrationen der </w:t>
      </w:r>
      <w:proofErr w:type="spellStart"/>
      <w:r>
        <w:t>polyklonalen</w:t>
      </w:r>
      <w:proofErr w:type="spellEnd"/>
      <w:r>
        <w:t xml:space="preserve"> Antikörper noch etwas höher angesetzt werden (beginnen bei 40 µg/</w:t>
      </w:r>
      <w:proofErr w:type="spellStart"/>
      <w:r>
        <w:t>mL</w:t>
      </w:r>
      <w:proofErr w:type="spellEnd"/>
      <w:r>
        <w:t>, dann Verdünnungen in 1:4 Stufen). Auch das SE-PE soll etwas höher konzentriert eingesetzt werden (4 µg/</w:t>
      </w:r>
      <w:proofErr w:type="spellStart"/>
      <w:r>
        <w:t>mL</w:t>
      </w:r>
      <w:proofErr w:type="spellEnd"/>
      <w:r>
        <w:t>)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Übersicht:</w:t>
      </w:r>
    </w:p>
    <w:p>
      <w:pPr>
        <w:spacing w:after="0"/>
      </w:pPr>
      <w:r>
        <w:t xml:space="preserve">18 </w:t>
      </w:r>
      <w:proofErr w:type="spellStart"/>
      <w:r>
        <w:t>Bead</w:t>
      </w:r>
      <w:proofErr w:type="spellEnd"/>
      <w:r>
        <w:t>-Sets</w:t>
      </w:r>
    </w:p>
    <w:p>
      <w:pPr>
        <w:spacing w:after="0"/>
      </w:pPr>
      <w:proofErr w:type="spellStart"/>
      <w:r>
        <w:t>Assaydurchführung</w:t>
      </w:r>
      <w:proofErr w:type="spellEnd"/>
      <w:r>
        <w:t>: Angepasster Standard-Serologischer Assay je nach verwendetem Detektionssystem</w:t>
      </w:r>
    </w:p>
    <w:p>
      <w:pPr>
        <w:spacing w:after="0"/>
      </w:pPr>
      <w:r>
        <w:t xml:space="preserve">- Für </w:t>
      </w:r>
      <w:proofErr w:type="spellStart"/>
      <w:r>
        <w:t>biotinylierte</w:t>
      </w:r>
      <w:proofErr w:type="spellEnd"/>
      <w:r>
        <w:t xml:space="preserve"> </w:t>
      </w:r>
      <w:proofErr w:type="spellStart"/>
      <w:r>
        <w:t>polyklonale</w:t>
      </w:r>
      <w:proofErr w:type="spellEnd"/>
      <w:r>
        <w:t xml:space="preserve"> Antikörper (ab 10 µg/</w:t>
      </w:r>
      <w:proofErr w:type="spellStart"/>
      <w:r>
        <w:t>mL</w:t>
      </w:r>
      <w:proofErr w:type="spellEnd"/>
      <w:r>
        <w:t>, dann 2,5 µg/</w:t>
      </w:r>
      <w:proofErr w:type="spellStart"/>
      <w:r>
        <w:t>mL</w:t>
      </w:r>
      <w:proofErr w:type="spellEnd"/>
      <w:r>
        <w:t>, 0,625 µg/</w:t>
      </w:r>
      <w:proofErr w:type="spellStart"/>
      <w:r>
        <w:t>mL</w:t>
      </w:r>
      <w:proofErr w:type="spellEnd"/>
      <w:r>
        <w:t>): Detektion über SA-PR PJRS27 mit c = 4 µg/</w:t>
      </w:r>
      <w:proofErr w:type="spellStart"/>
      <w:r>
        <w:t>mL</w:t>
      </w:r>
      <w:proofErr w:type="spellEnd"/>
    </w:p>
    <w:p>
      <w:pPr>
        <w:spacing w:after="0"/>
      </w:pPr>
    </w:p>
    <w:p>
      <w:pPr>
        <w:spacing w:after="0"/>
        <w:rPr>
          <w:b/>
          <w:lang w:val="en-US"/>
        </w:rPr>
      </w:pPr>
      <w:r>
        <w:rPr>
          <w:b/>
          <w:lang w:val="en-US"/>
        </w:rPr>
        <w:t>Material:</w:t>
      </w:r>
    </w:p>
    <w:p>
      <w:pPr>
        <w:rPr>
          <w:lang w:val="en-US"/>
        </w:rPr>
      </w:pPr>
      <w:r>
        <w:rPr>
          <w:lang w:val="en-US"/>
        </w:rPr>
        <w:t>Assay: Pox-Multiplex (18-Plex)</w:t>
      </w:r>
    </w:p>
    <w:p>
      <w:proofErr w:type="spellStart"/>
      <w:r>
        <w:t>Beads</w:t>
      </w:r>
      <w:proofErr w:type="spellEnd"/>
      <w:r>
        <w:t xml:space="preserve"> Lot: 09/22 (gekoppelt September 2022, JL, RM)</w:t>
      </w:r>
    </w:p>
    <w:p>
      <w:pPr>
        <w:rPr>
          <w:b/>
        </w:rPr>
      </w:pPr>
      <w:r>
        <w:t xml:space="preserve">Konzentration: </w:t>
      </w:r>
      <w:r>
        <w:rPr>
          <w:b/>
        </w:rPr>
        <w:t xml:space="preserve">2000 </w:t>
      </w:r>
      <w:proofErr w:type="spellStart"/>
      <w:r>
        <w:rPr>
          <w:b/>
        </w:rPr>
        <w:t>Beads</w:t>
      </w:r>
      <w:proofErr w:type="spellEnd"/>
      <w:r>
        <w:rPr>
          <w:b/>
        </w:rPr>
        <w:t>/µL</w:t>
      </w:r>
    </w:p>
    <w:p>
      <w:r>
        <w:t>Assay-Puffer: 1% BSA/PBS, __________</w:t>
      </w:r>
    </w:p>
    <w:p>
      <w:r>
        <w:t xml:space="preserve">Protokoll: Eigenes Protokoll wegen verschiedener notwendiger Nachweisreagenzien, aber eng angelehnt an das Protokoll des Serologischen </w:t>
      </w:r>
      <w:proofErr w:type="spellStart"/>
      <w:r>
        <w:t>Assays</w:t>
      </w:r>
      <w:proofErr w:type="spellEnd"/>
    </w:p>
    <w:p>
      <w:pPr>
        <w:pStyle w:val="Listenabsatz"/>
        <w:numPr>
          <w:ilvl w:val="0"/>
          <w:numId w:val="3"/>
        </w:numPr>
      </w:pPr>
      <w:r>
        <w:t xml:space="preserve">Vorlegen von 50 µL </w:t>
      </w:r>
      <w:proofErr w:type="spellStart"/>
      <w:r>
        <w:t>Beadmix</w:t>
      </w:r>
      <w:proofErr w:type="spellEnd"/>
      <w:r>
        <w:t xml:space="preserve"> je Well mit 1000 </w:t>
      </w:r>
      <w:proofErr w:type="spellStart"/>
      <w:r>
        <w:t>Beads</w:t>
      </w:r>
      <w:proofErr w:type="spellEnd"/>
      <w:r>
        <w:t xml:space="preserve"> je </w:t>
      </w:r>
      <w:proofErr w:type="spellStart"/>
      <w:r>
        <w:t>Beadsorte</w:t>
      </w:r>
      <w:proofErr w:type="spellEnd"/>
      <w:r>
        <w:t xml:space="preserve"> je Well</w:t>
      </w:r>
    </w:p>
    <w:p>
      <w:pPr>
        <w:pStyle w:val="Listenabsatz"/>
        <w:numPr>
          <w:ilvl w:val="0"/>
          <w:numId w:val="3"/>
        </w:numPr>
      </w:pPr>
      <w:r>
        <w:t>Zugabe von jeweils 50 µL Antikörperverdünnungen je Well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lichtgeschützt für 60 Minuten bei RT auf Schüttler bei 750 </w:t>
      </w:r>
      <w:proofErr w:type="spellStart"/>
      <w:r>
        <w:t>rpm</w:t>
      </w:r>
      <w:proofErr w:type="spellEnd"/>
      <w:r>
        <w:t xml:space="preserve"> inkubieren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waschen mit </w:t>
      </w:r>
      <w:proofErr w:type="spellStart"/>
      <w:r>
        <w:t>Bead</w:t>
      </w:r>
      <w:proofErr w:type="spellEnd"/>
      <w:r>
        <w:t>-Waschprogramm „3</w:t>
      </w:r>
      <w:r>
        <w:rPr>
          <w:rFonts w:cs="Arial"/>
        </w:rPr>
        <w:t>×</w:t>
      </w:r>
      <w:r>
        <w:t>Beads“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>Jeweils 100 µL Nachweisreagenzien mit unten angegebenen Konzentrationen zugeben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lichtgeschützt für 60 Minuten bei RT auf Schüttler bei 750 </w:t>
      </w:r>
      <w:proofErr w:type="spellStart"/>
      <w:r>
        <w:t>rpm</w:t>
      </w:r>
      <w:proofErr w:type="spellEnd"/>
      <w:r>
        <w:t xml:space="preserve"> inkubieren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waschen mit </w:t>
      </w:r>
      <w:proofErr w:type="spellStart"/>
      <w:r>
        <w:t>Bead</w:t>
      </w:r>
      <w:proofErr w:type="spellEnd"/>
      <w:r>
        <w:t>-Waschprogramm „3</w:t>
      </w:r>
      <w:r>
        <w:rPr>
          <w:rFonts w:cs="Arial"/>
        </w:rPr>
        <w:t>×</w:t>
      </w:r>
      <w:r>
        <w:t xml:space="preserve">Beads“ 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proofErr w:type="spellStart"/>
      <w:r>
        <w:t>Beads</w:t>
      </w:r>
      <w:proofErr w:type="spellEnd"/>
      <w:r>
        <w:t xml:space="preserve"> in jeweils 100 µL </w:t>
      </w:r>
      <w:proofErr w:type="spellStart"/>
      <w:r>
        <w:t>Assaypuffer</w:t>
      </w:r>
      <w:proofErr w:type="spellEnd"/>
      <w:r>
        <w:t xml:space="preserve"> je Well </w:t>
      </w:r>
      <w:proofErr w:type="spellStart"/>
      <w:r>
        <w:t>resuspendieren</w:t>
      </w:r>
      <w:proofErr w:type="spellEnd"/>
      <w:r>
        <w:t xml:space="preserve"> (1 min bei 750 </w:t>
      </w:r>
      <w:proofErr w:type="spellStart"/>
      <w:r>
        <w:t>rpm</w:t>
      </w:r>
      <w:proofErr w:type="spellEnd"/>
      <w:r>
        <w:t xml:space="preserve"> </w:t>
      </w:r>
      <w:proofErr w:type="spellStart"/>
      <w:r>
        <w:t>anschütteln</w:t>
      </w:r>
      <w:proofErr w:type="spellEnd"/>
      <w:r>
        <w:t>)</w:t>
      </w:r>
    </w:p>
    <w:p>
      <w:pPr>
        <w:spacing w:after="0"/>
        <w:rPr>
          <w:b/>
        </w:rPr>
      </w:pPr>
      <w:r>
        <w:rPr>
          <w:b/>
        </w:rPr>
        <w:br w:type="page"/>
      </w:r>
    </w:p>
    <w:p>
      <w:pPr>
        <w:spacing w:after="0"/>
        <w:rPr>
          <w:b/>
        </w:rPr>
      </w:pPr>
      <w:proofErr w:type="spellStart"/>
      <w:r>
        <w:rPr>
          <w:b/>
        </w:rPr>
        <w:lastRenderedPageBreak/>
        <w:t>Beads</w:t>
      </w:r>
      <w:proofErr w:type="spellEnd"/>
      <w:r>
        <w:rPr>
          <w:b/>
        </w:rPr>
        <w:t>:</w:t>
      </w:r>
    </w:p>
    <w:tbl>
      <w:tblPr>
        <w:tblW w:w="8654" w:type="dxa"/>
        <w:tblInd w:w="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"/>
        <w:gridCol w:w="2835"/>
        <w:gridCol w:w="2186"/>
        <w:gridCol w:w="1778"/>
        <w:gridCol w:w="1119"/>
      </w:tblGrid>
      <w:tr>
        <w:trPr>
          <w:trHeight w:val="284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-region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Bezeichnung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Markierung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Ziege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anti-Human IgG Fc-Gamma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Humanes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cstheme="minorHAnsi"/>
                <w:szCs w:val="20"/>
                <w:lang w:val="en-US" w:eastAsia="de-DE"/>
              </w:rPr>
              <w:t>Serumalbumin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A29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A1/40/1/5/17 QM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1,66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A27L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A1/40/1/5/17 QM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1,66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A35R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Ziege-Anti-A33R-Bio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0,279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A33R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Ziege-Anti-A33R-Bio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0,279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B6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Maus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anti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B5R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B5R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Maus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anti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B5R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E8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Ziege-Anti-D8-Bio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0,302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36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M1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Ziege-Anti-L1-Bio</w:t>
            </w:r>
          </w:p>
          <w:p>
            <w:pPr>
              <w:rPr>
                <w:rFonts w:cstheme="minorHAnsi"/>
                <w:szCs w:val="20"/>
                <w:lang w:val="en-US"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0,186 mg/mL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Biotin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L1R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Ziege-Anti-L1-Bio</w:t>
            </w:r>
          </w:p>
          <w:p>
            <w:pPr>
              <w:rPr>
                <w:rFonts w:cstheme="minorHAnsi"/>
                <w:szCs w:val="20"/>
                <w:lang w:val="en-US"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0,186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D8L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Ziege-Anti-D8-Bio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0,302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H3L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Ziege-Anti-H3-Bio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0,364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ATI-C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Maus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anti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His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ATI-N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Maus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anti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His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A5L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Maus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anti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His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48</w:t>
            </w:r>
          </w:p>
          <w:p>
            <w:pPr>
              <w:rPr>
                <w:rFonts w:cstheme="minorHAnsi"/>
                <w:b/>
                <w:szCs w:val="20"/>
                <w:lang w:eastAsia="de-D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VACV Lysat (20 µg)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VIG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-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67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Hep2 Lysat (20 µg)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VIG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-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e</w:t>
            </w:r>
          </w:p>
        </w:tc>
      </w:tr>
    </w:tbl>
    <w:p>
      <w:pPr>
        <w:spacing w:after="0"/>
        <w:rPr>
          <w:b/>
        </w:rPr>
      </w:pPr>
    </w:p>
    <w:p>
      <w:pPr>
        <w:spacing w:after="0"/>
      </w:pPr>
      <w:r>
        <w:t xml:space="preserve">Insgesamt sollen hier 4 verschiedene Antikörper in jeweils 4 Verdünnungen getestet werden. Zusätzlich wird noch eine Negativkontrolle </w:t>
      </w:r>
      <w:proofErr w:type="gramStart"/>
      <w:r>
        <w:t>( SA</w:t>
      </w:r>
      <w:proofErr w:type="gramEnd"/>
      <w:r>
        <w:t xml:space="preserve">-PE) benötigt, also insgesamt 17 Wells, die mit dem </w:t>
      </w:r>
      <w:proofErr w:type="spellStart"/>
      <w:r>
        <w:t>Bead</w:t>
      </w:r>
      <w:proofErr w:type="spellEnd"/>
      <w:r>
        <w:t xml:space="preserve">-Mix belegt werden müssen. 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Antikörper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"/>
        <w:gridCol w:w="1919"/>
        <w:gridCol w:w="993"/>
        <w:gridCol w:w="1419"/>
        <w:gridCol w:w="1745"/>
        <w:gridCol w:w="2641"/>
      </w:tblGrid>
      <w:tr>
        <w:trPr>
          <w:trHeight w:val="284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Nr</w:t>
            </w:r>
            <w:proofErr w:type="spellEnd"/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Hersteller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Lot</w:t>
            </w:r>
          </w:p>
        </w:tc>
        <w:tc>
          <w:tcPr>
            <w:tcW w:w="1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Lagerort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</w:p>
        </w:tc>
      </w:tr>
      <w:tr>
        <w:trPr>
          <w:trHeight w:hRule="exact" w:val="275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Rabbit-Anti-A33R-Bio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RKI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0,279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Raum 95 TK Box Antikörper</w:t>
            </w:r>
          </w:p>
        </w:tc>
      </w:tr>
      <w:tr>
        <w:trPr>
          <w:trHeight w:hRule="exact" w:val="275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2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Ziege-Anti-D8-Bio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RKI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0,302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  <w:tc>
          <w:tcPr>
            <w:tcW w:w="1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Raum 95 TK Box Antikörper</w:t>
            </w:r>
          </w:p>
        </w:tc>
      </w:tr>
      <w:tr>
        <w:trPr>
          <w:trHeight w:hRule="exact" w:val="275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Rabbit-Anti-L1-Bio</w:t>
            </w:r>
          </w:p>
          <w:p>
            <w:pPr>
              <w:rPr>
                <w:rFonts w:cstheme="minorHAnsi"/>
                <w:szCs w:val="20"/>
                <w:lang w:val="en-US" w:eastAsia="de-DE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RKI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0,186 mg/mL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Biotin</w:t>
            </w:r>
          </w:p>
        </w:tc>
        <w:tc>
          <w:tcPr>
            <w:tcW w:w="1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Raum 95 TK Box Antikörper</w:t>
            </w:r>
          </w:p>
        </w:tc>
      </w:tr>
      <w:tr>
        <w:trPr>
          <w:trHeight w:hRule="exact" w:val="275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4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Ziege-Anti-H3-Bio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RKI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0,364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  <w:tc>
          <w:tcPr>
            <w:tcW w:w="1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Raum 95 TK Box Antikörper</w:t>
            </w:r>
          </w:p>
        </w:tc>
      </w:tr>
    </w:tbl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Detektionsantikörper</w:t>
      </w:r>
    </w:p>
    <w:tbl>
      <w:tblPr>
        <w:tblW w:w="516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"/>
        <w:gridCol w:w="2383"/>
        <w:gridCol w:w="1295"/>
        <w:gridCol w:w="1441"/>
        <w:gridCol w:w="1006"/>
        <w:gridCol w:w="2891"/>
      </w:tblGrid>
      <w:tr>
        <w:trPr>
          <w:trHeight w:val="382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Nr</w:t>
            </w:r>
            <w:proofErr w:type="spellEnd"/>
          </w:p>
        </w:tc>
        <w:tc>
          <w:tcPr>
            <w:tcW w:w="1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Lot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Einsatz im Assay</w:t>
            </w: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Lagerort</w:t>
            </w:r>
          </w:p>
        </w:tc>
      </w:tr>
      <w:tr>
        <w:trPr>
          <w:trHeight w:hRule="exact" w:val="961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SA-PE PJRS27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746-027/ 28.04.21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PaD</w:t>
            </w:r>
            <w:proofErr w:type="spellEnd"/>
          </w:p>
        </w:tc>
        <w:tc>
          <w:tcPr>
            <w:tcW w:w="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2,07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1:500</w:t>
            </w:r>
          </w:p>
        </w:tc>
        <w:tc>
          <w:tcPr>
            <w:tcW w:w="1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trike/>
                <w:szCs w:val="20"/>
                <w:lang w:eastAsia="de-DE"/>
              </w:rPr>
              <w:t>ZBS3-KS1 Schublade rechts Box 124 Raum 95</w:t>
            </w:r>
            <w:r>
              <w:rPr>
                <w:rFonts w:cstheme="minorHAnsi"/>
                <w:szCs w:val="20"/>
                <w:lang w:eastAsia="de-DE"/>
              </w:rPr>
              <w:t xml:space="preserve"> Angebrochenes Aliquot in Serologie Working Box</w:t>
            </w:r>
          </w:p>
        </w:tc>
      </w:tr>
    </w:tbl>
    <w:p>
      <w:pPr>
        <w:rPr>
          <w:szCs w:val="20"/>
        </w:rPr>
      </w:pPr>
    </w:p>
    <w:p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Plattenlayout Antikörper</w:t>
      </w:r>
    </w:p>
    <w:p>
      <w:pPr>
        <w:spacing w:after="0"/>
        <w:rPr>
          <w:szCs w:val="20"/>
        </w:rPr>
      </w:pPr>
    </w:p>
    <w:tbl>
      <w:tblPr>
        <w:tblW w:w="5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1180"/>
        <w:gridCol w:w="1275"/>
        <w:gridCol w:w="1276"/>
        <w:gridCol w:w="1276"/>
      </w:tblGrid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4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A33R-bio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40 µg/mL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L1-Bio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40 µg/mL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Blank SA-PE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B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A33R-bio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10 µg/mL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L1-Bio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10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C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A33R-Bio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2 µg/mL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L1-Bio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2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A33R-Bio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0,4 µg/mL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L1-Bio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0,4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D8-Bio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40 µg/mL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H3-Bio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40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F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D8-Bio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10 µg/mL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H3-Bio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10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D8-Bio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2 µg/mL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H3-Bio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2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H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D8-Bio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0,4 µg/mL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H3-Bio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0,4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</w:tr>
    </w:tbl>
    <w:p>
      <w:pPr>
        <w:spacing w:after="0"/>
        <w:rPr>
          <w:color w:val="FF0000"/>
          <w:szCs w:val="20"/>
          <w:lang w:val="en-US"/>
        </w:rPr>
      </w:pPr>
    </w:p>
    <w:p>
      <w:pPr>
        <w:spacing w:after="0"/>
        <w:rPr>
          <w:color w:val="FF0000"/>
          <w:szCs w:val="20"/>
          <w:lang w:val="en-US"/>
        </w:rPr>
      </w:pPr>
    </w:p>
    <w:p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t>Plattenlayout Detektionsantikörper</w:t>
      </w:r>
    </w:p>
    <w:p>
      <w:pPr>
        <w:spacing w:after="0"/>
        <w:rPr>
          <w:szCs w:val="20"/>
        </w:rPr>
      </w:pPr>
    </w:p>
    <w:tbl>
      <w:tblPr>
        <w:tblW w:w="5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1180"/>
        <w:gridCol w:w="1275"/>
        <w:gridCol w:w="1276"/>
        <w:gridCol w:w="1276"/>
      </w:tblGrid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4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B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C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F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H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 xml:space="preserve">Verdünnung des </w:t>
      </w:r>
      <w:proofErr w:type="spellStart"/>
      <w:r>
        <w:rPr>
          <w:b/>
          <w:szCs w:val="20"/>
        </w:rPr>
        <w:t>Bead-Mixes</w:t>
      </w:r>
      <w:proofErr w:type="spellEnd"/>
    </w:p>
    <w:p>
      <w:pPr>
        <w:spacing w:after="0"/>
        <w:rPr>
          <w:szCs w:val="20"/>
        </w:rPr>
      </w:pPr>
      <w:proofErr w:type="spellStart"/>
      <w:r>
        <w:rPr>
          <w:szCs w:val="20"/>
        </w:rPr>
        <w:t>Beads</w:t>
      </w:r>
      <w:proofErr w:type="spellEnd"/>
      <w:r>
        <w:rPr>
          <w:szCs w:val="20"/>
        </w:rPr>
        <w:t xml:space="preserve"> #48 und #67 jeweils die Kopplung mit 20 µg Protein verwenden (es wurden verschiedene Proteinmengen gekoppelt). 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  <w:r>
        <w:rPr>
          <w:szCs w:val="20"/>
        </w:rPr>
        <w:t>Ansatz für 17 Well, also für 19 Well ansetzen:</w:t>
      </w:r>
    </w:p>
    <w:p>
      <w:pPr>
        <w:pStyle w:val="Listenabsatz"/>
        <w:numPr>
          <w:ilvl w:val="0"/>
          <w:numId w:val="2"/>
        </w:numPr>
        <w:spacing w:after="0"/>
        <w:rPr>
          <w:szCs w:val="20"/>
        </w:rPr>
      </w:pPr>
      <w:r>
        <w:rPr>
          <w:szCs w:val="20"/>
        </w:rPr>
        <w:t xml:space="preserve">950 µL ansetzen -&gt; je ID 1:100 bei 2000 </w:t>
      </w:r>
      <w:proofErr w:type="spellStart"/>
      <w:r>
        <w:rPr>
          <w:szCs w:val="20"/>
        </w:rPr>
        <w:t>Beads</w:t>
      </w:r>
      <w:proofErr w:type="spellEnd"/>
      <w:r>
        <w:rPr>
          <w:szCs w:val="20"/>
        </w:rPr>
        <w:t xml:space="preserve"> je µL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9,5 µL je </w:t>
      </w:r>
      <w:proofErr w:type="spellStart"/>
      <w:r>
        <w:rPr>
          <w:szCs w:val="20"/>
        </w:rPr>
        <w:t>Beadregion</w:t>
      </w:r>
      <w:proofErr w:type="spellEnd"/>
      <w:r>
        <w:rPr>
          <w:szCs w:val="20"/>
        </w:rPr>
        <w:t xml:space="preserve"> = 18 * 9,5 = 171 µL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779 µL </w:t>
      </w:r>
      <w:proofErr w:type="spellStart"/>
      <w:r>
        <w:rPr>
          <w:szCs w:val="20"/>
        </w:rPr>
        <w:t>Assaypuffer</w:t>
      </w:r>
      <w:proofErr w:type="spellEnd"/>
    </w:p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br w:type="page"/>
      </w:r>
    </w:p>
    <w:p>
      <w:pPr>
        <w:spacing w:after="0"/>
        <w:rPr>
          <w:b/>
          <w:szCs w:val="20"/>
        </w:rPr>
      </w:pPr>
      <w:r>
        <w:rPr>
          <w:b/>
          <w:szCs w:val="20"/>
        </w:rPr>
        <w:lastRenderedPageBreak/>
        <w:t>Verdünnung der Antikörper</w:t>
      </w:r>
    </w:p>
    <w:p>
      <w:pPr>
        <w:spacing w:after="0"/>
        <w:rPr>
          <w:szCs w:val="20"/>
        </w:rPr>
      </w:pPr>
      <w:r>
        <w:rPr>
          <w:szCs w:val="20"/>
        </w:rPr>
        <w:t xml:space="preserve">Die Antikörper werden mit der doppelten Konzentration angesetzt, da bei dem Assay-Setup 50 µl </w:t>
      </w:r>
      <w:proofErr w:type="spellStart"/>
      <w:r>
        <w:rPr>
          <w:szCs w:val="20"/>
        </w:rPr>
        <w:t>Bead</w:t>
      </w:r>
      <w:proofErr w:type="spellEnd"/>
      <w:r>
        <w:rPr>
          <w:szCs w:val="20"/>
        </w:rPr>
        <w:t xml:space="preserve">-Mix mit 50 µl Antikörper gemischt werden, was eine Weitere 1:2 Verdünnung darstellt. </w:t>
      </w:r>
    </w:p>
    <w:p>
      <w:pPr>
        <w:spacing w:after="0"/>
        <w:rPr>
          <w:szCs w:val="20"/>
        </w:rPr>
      </w:pPr>
    </w:p>
    <w:p>
      <w:pPr>
        <w:pStyle w:val="Listenabsatz"/>
        <w:numPr>
          <w:ilvl w:val="0"/>
          <w:numId w:val="2"/>
        </w:numPr>
        <w:spacing w:after="0"/>
        <w:rPr>
          <w:b/>
          <w:szCs w:val="20"/>
        </w:rPr>
      </w:pPr>
      <w:r>
        <w:rPr>
          <w:szCs w:val="20"/>
        </w:rPr>
        <w:t>Rabbit-Anti-A33R-Bio c = 0,279 mg/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soll 80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also 1:3,4875, jeweils 100 µL je Verdünnung ansetzen.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28,7 µL Antikörper + 71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25 µL Vorverdünnung + 75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2"/>
        </w:numPr>
        <w:spacing w:after="0"/>
        <w:rPr>
          <w:b/>
          <w:szCs w:val="20"/>
        </w:rPr>
      </w:pPr>
      <w:r>
        <w:rPr>
          <w:szCs w:val="20"/>
        </w:rPr>
        <w:t>Ziege-Anti-D8-Bio c = 0,302 mg/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soll 80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also 1:3,775, jeweils 100 µL je Verdünnung ansetzen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26,5 µL Antikörper + 73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25 µL Vorverdünnung + 75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2"/>
        </w:numPr>
        <w:spacing w:after="0"/>
        <w:rPr>
          <w:b/>
          <w:szCs w:val="20"/>
        </w:rPr>
      </w:pPr>
      <w:r>
        <w:rPr>
          <w:szCs w:val="20"/>
        </w:rPr>
        <w:t>Rabbit-Anti-L1-Bio c = 0,186 mg/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soll 80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also 1:2,325, jeweils 100 µL je Verdünnung ansetzen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43 µL Antikörper + 67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25 µL Vorverdünnung + 75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2"/>
        </w:numPr>
        <w:spacing w:after="0"/>
        <w:rPr>
          <w:b/>
          <w:szCs w:val="20"/>
        </w:rPr>
      </w:pPr>
      <w:r>
        <w:rPr>
          <w:szCs w:val="20"/>
        </w:rPr>
        <w:t>Ziege-Anti-H3-Bio c = 0,364 mg/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soll 80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also 1:4,55, jeweils 100 µL je Verdünnung ansetzen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22 µL Antikörper + 78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25 µL Vorverdünnung + 75 µL </w:t>
      </w:r>
      <w:proofErr w:type="spellStart"/>
      <w:r>
        <w:rPr>
          <w:szCs w:val="20"/>
        </w:rPr>
        <w:t>Assaypuffer</w:t>
      </w:r>
      <w:proofErr w:type="spellEnd"/>
    </w:p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Verdünnung der Detektionsantikörper</w:t>
      </w:r>
    </w:p>
    <w:p>
      <w:pPr>
        <w:spacing w:after="0"/>
        <w:rPr>
          <w:szCs w:val="20"/>
        </w:rPr>
      </w:pPr>
      <w:r>
        <w:rPr>
          <w:szCs w:val="20"/>
        </w:rPr>
        <w:t>Benötigtes Volumen je Detektionsantikörper</w:t>
      </w:r>
    </w:p>
    <w:p>
      <w:pPr>
        <w:pStyle w:val="Listenabsatz"/>
        <w:numPr>
          <w:ilvl w:val="0"/>
          <w:numId w:val="5"/>
        </w:numPr>
        <w:spacing w:after="0"/>
        <w:rPr>
          <w:szCs w:val="20"/>
        </w:rPr>
      </w:pPr>
      <w:r>
        <w:rPr>
          <w:szCs w:val="20"/>
        </w:rPr>
        <w:t>SA-PE 17 Wells ja 100 µL benötigt, also 1700 µL benötigt. 2000 µL ansetzen, 1:500 Verdünnung</w:t>
      </w:r>
    </w:p>
    <w:p>
      <w:pPr>
        <w:pStyle w:val="Listenabsatz"/>
        <w:numPr>
          <w:ilvl w:val="1"/>
          <w:numId w:val="5"/>
        </w:numPr>
        <w:spacing w:after="0"/>
        <w:rPr>
          <w:szCs w:val="20"/>
        </w:rPr>
      </w:pPr>
      <w:r>
        <w:rPr>
          <w:szCs w:val="20"/>
        </w:rPr>
        <w:t xml:space="preserve">4 µL SA-PE + 2000 µL </w:t>
      </w:r>
      <w:proofErr w:type="spellStart"/>
      <w:r>
        <w:rPr>
          <w:szCs w:val="20"/>
        </w:rPr>
        <w:t>Assaypuffer</w:t>
      </w:r>
      <w:proofErr w:type="spellEnd"/>
    </w:p>
    <w:p>
      <w:pPr>
        <w:spacing w:after="0"/>
        <w:rPr>
          <w:szCs w:val="20"/>
        </w:rPr>
      </w:pPr>
    </w:p>
    <w:sectPr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jc w:val="right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t xml:space="preserve">13 Kopplungskontrolle </w:t>
    </w:r>
    <w:proofErr w:type="spellStart"/>
    <w:r>
      <w:t>Pox</w:t>
    </w:r>
    <w:proofErr w:type="spellEnd"/>
    <w:r>
      <w:t xml:space="preserve">-Multiplex Teil 2: </w:t>
    </w:r>
    <w:proofErr w:type="spellStart"/>
    <w:r>
      <w:t>biotinylierte</w:t>
    </w:r>
    <w:proofErr w:type="spellEnd"/>
    <w:r>
      <w:t xml:space="preserve"> Antikörper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65B"/>
    <w:multiLevelType w:val="hybridMultilevel"/>
    <w:tmpl w:val="AA7E4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0246"/>
    <w:multiLevelType w:val="hybridMultilevel"/>
    <w:tmpl w:val="5ECE72C0"/>
    <w:lvl w:ilvl="0" w:tplc="44224F8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3C0"/>
    <w:multiLevelType w:val="hybridMultilevel"/>
    <w:tmpl w:val="81EA6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62A9"/>
    <w:multiLevelType w:val="hybridMultilevel"/>
    <w:tmpl w:val="8A42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2DE5"/>
    <w:multiLevelType w:val="hybridMultilevel"/>
    <w:tmpl w:val="DD06C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F482B-207F-4FB6-9A5D-967C07B6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/>
    </w:pPr>
    <w:rPr>
      <w:rFonts w:asciiTheme="minorHAnsi" w:hAnsiTheme="minorHAns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uiPriority w:val="1"/>
    <w:qFormat/>
    <w:pPr>
      <w:spacing w:line="240" w:lineRule="auto"/>
    </w:pPr>
    <w:rPr>
      <w:rFonts w:asciiTheme="minorHAnsi" w:hAnsiTheme="minorHAnsi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Theme="minorHAnsi" w:hAnsiTheme="minorHAns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Theme="minorHAnsi" w:hAnsiTheme="minorHAnsi"/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Treindl, Fridolin</dc:creator>
  <cp:keywords/>
  <dc:description/>
  <cp:lastModifiedBy>Treindl, Fridolin</cp:lastModifiedBy>
  <cp:revision>6</cp:revision>
  <cp:lastPrinted>2022-10-13T16:31:00Z</cp:lastPrinted>
  <dcterms:created xsi:type="dcterms:W3CDTF">2022-10-13T15:51:00Z</dcterms:created>
  <dcterms:modified xsi:type="dcterms:W3CDTF">2022-10-13T16:31:00Z</dcterms:modified>
</cp:coreProperties>
</file>