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</w:pPr>
      <w:r>
        <w:t>Versuchsdurchführung: 11.07.2023</w:t>
      </w:r>
    </w:p>
    <w:p>
      <w:pPr>
        <w:spacing w:after="0"/>
      </w:pPr>
      <w:r>
        <w:t xml:space="preserve">Assay: </w:t>
      </w:r>
      <w:proofErr w:type="spellStart"/>
      <w:r>
        <w:t>Pox</w:t>
      </w:r>
      <w:proofErr w:type="spellEnd"/>
      <w:r>
        <w:t xml:space="preserve">-Multiplex im Rahmen der </w:t>
      </w:r>
      <w:proofErr w:type="spellStart"/>
      <w:r>
        <w:t>SPox</w:t>
      </w:r>
      <w:proofErr w:type="spellEnd"/>
      <w:r>
        <w:t>-Studie</w:t>
      </w:r>
    </w:p>
    <w:p>
      <w:pPr>
        <w:spacing w:after="0"/>
        <w:rPr>
          <w:lang w:val="en-US"/>
        </w:rPr>
      </w:pPr>
      <w:proofErr w:type="spellStart"/>
      <w:r>
        <w:rPr>
          <w:lang w:val="en-US"/>
        </w:rPr>
        <w:t>Operatoren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SesA</w:t>
      </w:r>
      <w:proofErr w:type="spellEnd"/>
    </w:p>
    <w:p>
      <w:pPr>
        <w:spacing w:after="0"/>
        <w:rPr>
          <w:lang w:val="en-US"/>
        </w:rPr>
      </w:pPr>
    </w:p>
    <w:p>
      <w:pPr>
        <w:spacing w:after="0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SPox</w:t>
      </w:r>
      <w:proofErr w:type="spellEnd"/>
      <w:r>
        <w:rPr>
          <w:b/>
          <w:sz w:val="28"/>
          <w:lang w:val="en-US"/>
        </w:rPr>
        <w:t>: Pox-Multiplex-Assay</w:t>
      </w:r>
    </w:p>
    <w:p>
      <w:pPr>
        <w:spacing w:after="0"/>
      </w:pPr>
      <w:r>
        <w:t xml:space="preserve">Experiment </w:t>
      </w:r>
      <w:proofErr w:type="spellStart"/>
      <w:r>
        <w:rPr>
          <w:highlight w:val="yellow"/>
        </w:rPr>
        <w:t>SPox</w:t>
      </w:r>
      <w:proofErr w:type="spellEnd"/>
      <w:r>
        <w:rPr>
          <w:highlight w:val="yellow"/>
        </w:rPr>
        <w:t xml:space="preserve"> _01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Hintergrund</w:t>
      </w:r>
    </w:p>
    <w:p>
      <w:pPr>
        <w:spacing w:after="0"/>
      </w:pPr>
      <w:r>
        <w:t xml:space="preserve">Dieses Protokoll beschreibt die Versuchsdurchführung für die Messung der Seren aus der </w:t>
      </w:r>
      <w:proofErr w:type="spellStart"/>
      <w:r>
        <w:t>SPox</w:t>
      </w:r>
      <w:proofErr w:type="spellEnd"/>
      <w:r>
        <w:t xml:space="preserve">-Studie mit Hilfe des </w:t>
      </w:r>
      <w:proofErr w:type="spellStart"/>
      <w:r>
        <w:t>Pox</w:t>
      </w:r>
      <w:proofErr w:type="spellEnd"/>
      <w:r>
        <w:t>-Multiplex-</w:t>
      </w:r>
      <w:proofErr w:type="spellStart"/>
      <w:r>
        <w:t>Assays</w:t>
      </w:r>
      <w:proofErr w:type="spellEnd"/>
      <w:r>
        <w:t xml:space="preserve">. Alle Seren sollen jeweils auf </w:t>
      </w:r>
      <w:proofErr w:type="spellStart"/>
      <w:r>
        <w:t>IgG</w:t>
      </w:r>
      <w:proofErr w:type="spellEnd"/>
      <w:r>
        <w:t xml:space="preserve">- und </w:t>
      </w:r>
      <w:proofErr w:type="spellStart"/>
      <w:r>
        <w:t>IgM</w:t>
      </w:r>
      <w:proofErr w:type="spellEnd"/>
      <w:r>
        <w:t xml:space="preserve">-Antikörper untersucht werden. Jedes Serum soll in zwei Verdünnungen (1:100 und 1:1000) gemessen werden. Als Standard wird VIG in einer </w:t>
      </w:r>
      <w:proofErr w:type="spellStart"/>
      <w:r>
        <w:t>Verdünnunsreihe</w:t>
      </w:r>
      <w:proofErr w:type="spellEnd"/>
      <w:r>
        <w:t xml:space="preserve"> vermessen. Insgesamt können je Platte also 20 Proben vermessen werden. Wenn zwei Platten gleichzeitig bearbeitet werden können also je Versuchstag insgesamt 40 Proben untersucht werden. 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Anweisungen zur Experimentnummerierung und Daten-Ablage</w:t>
      </w:r>
    </w:p>
    <w:p>
      <w:pPr>
        <w:spacing w:after="0"/>
      </w:pPr>
      <w:r>
        <w:t xml:space="preserve">Das Assay-Layout ist für 40 Seren ausgelegt welche auf 2 Platten à 20 Seren aufgeteilt werden. </w:t>
      </w:r>
    </w:p>
    <w:p>
      <w:pPr>
        <w:spacing w:after="0"/>
      </w:pPr>
    </w:p>
    <w:p>
      <w:pPr>
        <w:spacing w:after="0"/>
      </w:pPr>
      <w:bookmarkStart w:id="0" w:name="_GoBack"/>
      <w:bookmarkEnd w:id="0"/>
    </w:p>
    <w:p>
      <w:pPr>
        <w:spacing w:after="0"/>
      </w:pPr>
    </w:p>
    <w:p>
      <w:pPr>
        <w:spacing w:after="0"/>
        <w:rPr>
          <w:b/>
          <w:lang w:val="en-US"/>
        </w:rPr>
      </w:pPr>
      <w:r>
        <w:rPr>
          <w:b/>
          <w:lang w:val="en-US"/>
        </w:rPr>
        <w:t>Material:</w:t>
      </w:r>
    </w:p>
    <w:p>
      <w:pPr>
        <w:rPr>
          <w:lang w:val="en-US"/>
        </w:rPr>
      </w:pPr>
      <w:r>
        <w:rPr>
          <w:b/>
          <w:lang w:val="en-US"/>
        </w:rPr>
        <w:t xml:space="preserve">Beads Lot: </w:t>
      </w:r>
      <w:proofErr w:type="spellStart"/>
      <w:r>
        <w:rPr>
          <w:lang w:val="en-US"/>
        </w:rPr>
        <w:t>SPox</w:t>
      </w:r>
      <w:proofErr w:type="spellEnd"/>
      <w:r>
        <w:rPr>
          <w:lang w:val="en-US"/>
        </w:rPr>
        <w:t xml:space="preserve"> 01 </w:t>
      </w:r>
    </w:p>
    <w:p>
      <w:pPr>
        <w:rPr>
          <w:b/>
          <w:lang w:val="en-US"/>
        </w:rPr>
      </w:pPr>
      <w:proofErr w:type="spellStart"/>
      <w:r>
        <w:rPr>
          <w:lang w:val="en-US"/>
        </w:rPr>
        <w:t>Konzentration</w:t>
      </w:r>
      <w:proofErr w:type="spellEnd"/>
      <w:r>
        <w:rPr>
          <w:lang w:val="en-US"/>
        </w:rPr>
        <w:t xml:space="preserve">: </w:t>
      </w:r>
      <w:r>
        <w:rPr>
          <w:b/>
          <w:lang w:val="en-US"/>
        </w:rPr>
        <w:t xml:space="preserve">4000 Beads/µl </w:t>
      </w:r>
    </w:p>
    <w:p>
      <w:pPr>
        <w:rPr>
          <w:highlight w:val="yellow"/>
          <w:lang w:val="en-US"/>
        </w:rPr>
      </w:pPr>
      <w:r>
        <w:rPr>
          <w:lang w:val="en-US"/>
        </w:rPr>
        <w:t xml:space="preserve">Assay-Puffer: 1% BSA/PBS, </w:t>
      </w:r>
      <w:r>
        <w:rPr>
          <w:highlight w:val="yellow"/>
          <w:lang w:val="en-US"/>
        </w:rPr>
        <w:t>30.1.2023 TR</w:t>
      </w:r>
    </w:p>
    <w:p>
      <w:pPr>
        <w:rPr>
          <w:rFonts w:cstheme="minorHAnsi"/>
          <w:szCs w:val="20"/>
          <w:lang w:val="en-US" w:eastAsia="de-DE"/>
        </w:rPr>
      </w:pPr>
      <w:r>
        <w:rPr>
          <w:rFonts w:cstheme="minorHAnsi"/>
          <w:szCs w:val="20"/>
          <w:lang w:val="en-US" w:eastAsia="de-DE"/>
        </w:rPr>
        <w:t xml:space="preserve">Goat Anti-Human </w:t>
      </w:r>
      <w:r>
        <w:rPr>
          <w:rFonts w:cstheme="minorHAnsi"/>
          <w:b/>
          <w:szCs w:val="20"/>
          <w:lang w:val="en-US" w:eastAsia="de-DE"/>
        </w:rPr>
        <w:t>IgG</w:t>
      </w:r>
      <w:r>
        <w:rPr>
          <w:rFonts w:cstheme="minorHAnsi"/>
          <w:szCs w:val="20"/>
          <w:lang w:val="en-US" w:eastAsia="de-DE"/>
        </w:rPr>
        <w:t xml:space="preserve"> PE Lot: 135535</w:t>
      </w:r>
    </w:p>
    <w:p>
      <w:pPr>
        <w:rPr>
          <w:highlight w:val="yellow"/>
          <w:lang w:val="en-US"/>
        </w:rPr>
      </w:pPr>
      <w:r>
        <w:rPr>
          <w:rFonts w:cstheme="minorHAnsi"/>
          <w:szCs w:val="20"/>
          <w:lang w:val="en-US" w:eastAsia="de-DE"/>
        </w:rPr>
        <w:t xml:space="preserve">Donkey anti-Human </w:t>
      </w:r>
      <w:r>
        <w:rPr>
          <w:rFonts w:cstheme="minorHAnsi"/>
          <w:b/>
          <w:szCs w:val="20"/>
          <w:lang w:val="en-US" w:eastAsia="de-DE"/>
        </w:rPr>
        <w:t>IgM</w:t>
      </w:r>
      <w:r>
        <w:rPr>
          <w:rFonts w:cstheme="minorHAnsi"/>
          <w:szCs w:val="20"/>
          <w:lang w:val="en-US" w:eastAsia="de-DE"/>
        </w:rPr>
        <w:t>, Fc5µ, PE Lot: 155462</w:t>
      </w:r>
    </w:p>
    <w:p>
      <w:pPr>
        <w:rPr>
          <w:lang w:val="en-US"/>
        </w:rPr>
      </w:pPr>
    </w:p>
    <w:p>
      <w:pPr>
        <w:rPr>
          <w:lang w:val="en-US"/>
        </w:rPr>
      </w:pPr>
      <w:proofErr w:type="spellStart"/>
      <w:r>
        <w:rPr>
          <w:lang w:val="en-US"/>
        </w:rPr>
        <w:t>Protokoll</w:t>
      </w:r>
      <w:proofErr w:type="spellEnd"/>
      <w:r>
        <w:rPr>
          <w:lang w:val="en-US"/>
        </w:rPr>
        <w:t>: 03_Bioplex_Serologischer_Assay_Pox_V01</w:t>
      </w:r>
    </w:p>
    <w:p>
      <w:pPr>
        <w:rPr>
          <w:lang w:val="en-US"/>
        </w:rPr>
      </w:pPr>
    </w:p>
    <w:p>
      <w:pPr>
        <w:rPr>
          <w:b/>
          <w:sz w:val="28"/>
        </w:rPr>
      </w:pPr>
      <w:r>
        <w:rPr>
          <w:b/>
          <w:sz w:val="28"/>
        </w:rPr>
        <w:t>Durchführung in Kurzform</w:t>
      </w:r>
    </w:p>
    <w:p>
      <w:pPr>
        <w:pStyle w:val="Listenabsatz"/>
        <w:numPr>
          <w:ilvl w:val="0"/>
          <w:numId w:val="3"/>
        </w:numPr>
      </w:pPr>
      <w:r>
        <w:t xml:space="preserve">Wichtig: die Verdünnungen von Proben und Standards werden nach Layout in einer halben Deep-Well-Platte (Spalten 1-6) angesetzt, im Assay werden nach Layout je 50 µl in Spalten 1-6 und ebenfalls in Spalten 7-12 transferiert. </w:t>
      </w:r>
    </w:p>
    <w:p>
      <w:pPr>
        <w:pStyle w:val="Listenabsatz"/>
        <w:numPr>
          <w:ilvl w:val="0"/>
          <w:numId w:val="3"/>
        </w:numPr>
      </w:pPr>
      <w:r>
        <w:t xml:space="preserve">Vorlegen von 50 µl </w:t>
      </w:r>
      <w:proofErr w:type="spellStart"/>
      <w:r>
        <w:t>Beadmix</w:t>
      </w:r>
      <w:proofErr w:type="spellEnd"/>
      <w:r>
        <w:t xml:space="preserve"> je Well mit 1000 </w:t>
      </w:r>
      <w:proofErr w:type="spellStart"/>
      <w:r>
        <w:t>Beads</w:t>
      </w:r>
      <w:proofErr w:type="spellEnd"/>
      <w:r>
        <w:t xml:space="preserve"> je </w:t>
      </w:r>
      <w:proofErr w:type="spellStart"/>
      <w:r>
        <w:t>Beadsorte</w:t>
      </w:r>
      <w:proofErr w:type="spellEnd"/>
      <w:r>
        <w:t xml:space="preserve"> je Well</w:t>
      </w:r>
    </w:p>
    <w:p>
      <w:pPr>
        <w:pStyle w:val="Listenabsatz"/>
        <w:numPr>
          <w:ilvl w:val="0"/>
          <w:numId w:val="3"/>
        </w:numPr>
      </w:pPr>
      <w:r>
        <w:t>Zugabe von jeweils 50 µl Antikörperverdünnungen je Well (Spalten 1-6 und 7-12)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lichtgeschützt für 60 Minuten bei RT auf Schüttler bei 750 </w:t>
      </w:r>
      <w:proofErr w:type="spellStart"/>
      <w:r>
        <w:t>rpm</w:t>
      </w:r>
      <w:proofErr w:type="spellEnd"/>
      <w:r>
        <w:t xml:space="preserve"> inkubieren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waschen mit </w:t>
      </w:r>
      <w:proofErr w:type="spellStart"/>
      <w:r>
        <w:t>Bead</w:t>
      </w:r>
      <w:proofErr w:type="spellEnd"/>
      <w:r>
        <w:t>-Waschprogramm „3</w:t>
      </w:r>
      <w:r>
        <w:rPr>
          <w:rFonts w:cs="Arial"/>
        </w:rPr>
        <w:t>×</w:t>
      </w:r>
      <w:r>
        <w:t>Beads“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Jeweils 100 µl Nachweisreagenzien (anti-human </w:t>
      </w:r>
      <w:proofErr w:type="spellStart"/>
      <w:r>
        <w:t>IgG</w:t>
      </w:r>
      <w:proofErr w:type="spellEnd"/>
      <w:r>
        <w:t xml:space="preserve"> PE, anti-human </w:t>
      </w:r>
      <w:proofErr w:type="spellStart"/>
      <w:r>
        <w:t>IgM</w:t>
      </w:r>
      <w:proofErr w:type="spellEnd"/>
      <w:r>
        <w:t xml:space="preserve"> PE) mit unten angegebenen Konzentrationen zugeben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lichtgeschützt für 60 Minuten bei RT auf Schüttler bei 750 </w:t>
      </w:r>
      <w:proofErr w:type="spellStart"/>
      <w:r>
        <w:t>rpm</w:t>
      </w:r>
      <w:proofErr w:type="spellEnd"/>
      <w:r>
        <w:t xml:space="preserve"> inkubieren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r>
        <w:t xml:space="preserve">Platte waschen mit </w:t>
      </w:r>
      <w:proofErr w:type="spellStart"/>
      <w:r>
        <w:t>Bead</w:t>
      </w:r>
      <w:proofErr w:type="spellEnd"/>
      <w:r>
        <w:t>-Waschprogramm „3</w:t>
      </w:r>
      <w:r>
        <w:rPr>
          <w:rFonts w:cs="Arial"/>
        </w:rPr>
        <w:t>×</w:t>
      </w:r>
      <w:r>
        <w:t xml:space="preserve">Beads“ </w:t>
      </w:r>
    </w:p>
    <w:p>
      <w:pPr>
        <w:pStyle w:val="Listenabsatz"/>
        <w:numPr>
          <w:ilvl w:val="0"/>
          <w:numId w:val="3"/>
        </w:numPr>
        <w:spacing w:after="0" w:line="312" w:lineRule="auto"/>
        <w:jc w:val="both"/>
      </w:pPr>
      <w:proofErr w:type="spellStart"/>
      <w:r>
        <w:t>Beads</w:t>
      </w:r>
      <w:proofErr w:type="spellEnd"/>
      <w:r>
        <w:t xml:space="preserve"> in 100 µl </w:t>
      </w:r>
      <w:proofErr w:type="spellStart"/>
      <w:r>
        <w:t>Assaypuffer</w:t>
      </w:r>
      <w:proofErr w:type="spellEnd"/>
      <w:r>
        <w:t xml:space="preserve"> je Well </w:t>
      </w:r>
      <w:proofErr w:type="spellStart"/>
      <w:r>
        <w:t>resuspendieren</w:t>
      </w:r>
      <w:proofErr w:type="spellEnd"/>
      <w:r>
        <w:t xml:space="preserve"> (1 min bei 750 </w:t>
      </w:r>
      <w:proofErr w:type="spellStart"/>
      <w:r>
        <w:t>rpm</w:t>
      </w:r>
      <w:proofErr w:type="spellEnd"/>
      <w:r>
        <w:t xml:space="preserve"> </w:t>
      </w:r>
      <w:proofErr w:type="spellStart"/>
      <w:r>
        <w:t>anschütteln</w:t>
      </w:r>
      <w:proofErr w:type="spellEnd"/>
      <w:r>
        <w:t>)</w:t>
      </w:r>
    </w:p>
    <w:p>
      <w:pPr>
        <w:spacing w:after="0"/>
        <w:rPr>
          <w:b/>
        </w:rPr>
      </w:pPr>
      <w:r>
        <w:rPr>
          <w:b/>
        </w:rPr>
        <w:br w:type="page"/>
      </w:r>
    </w:p>
    <w:p>
      <w:pPr>
        <w:spacing w:after="0"/>
        <w:rPr>
          <w:b/>
        </w:rPr>
      </w:pPr>
      <w:proofErr w:type="spellStart"/>
      <w:r>
        <w:rPr>
          <w:b/>
        </w:rPr>
        <w:lastRenderedPageBreak/>
        <w:t>Beads</w:t>
      </w:r>
      <w:proofErr w:type="spellEnd"/>
      <w:r>
        <w:rPr>
          <w:b/>
        </w:rPr>
        <w:t xml:space="preserve">: </w:t>
      </w:r>
    </w:p>
    <w:p>
      <w:pPr>
        <w:spacing w:after="0"/>
        <w:rPr>
          <w:b/>
        </w:rPr>
      </w:pPr>
      <w:r>
        <w:rPr>
          <w:b/>
        </w:rPr>
        <w:t xml:space="preserve">Notieren </w:t>
      </w:r>
      <w:proofErr w:type="gramStart"/>
      <w:r>
        <w:rPr>
          <w:b/>
        </w:rPr>
        <w:t>welche Lot</w:t>
      </w:r>
      <w:proofErr w:type="gramEnd"/>
      <w:r>
        <w:rPr>
          <w:b/>
        </w:rPr>
        <w:t xml:space="preserve"> verwendet wurde -&gt; Siehe Ordner: Material, die aktuelle Charge ist „</w:t>
      </w:r>
      <w:proofErr w:type="spellStart"/>
      <w:r>
        <w:rPr>
          <w:b/>
        </w:rPr>
        <w:t>SPox</w:t>
      </w:r>
      <w:proofErr w:type="spellEnd"/>
      <w:r>
        <w:rPr>
          <w:b/>
        </w:rPr>
        <w:t xml:space="preserve"> 01“.</w:t>
      </w:r>
    </w:p>
    <w:p>
      <w:pPr>
        <w:spacing w:after="0"/>
        <w:rPr>
          <w:b/>
        </w:rPr>
      </w:pPr>
    </w:p>
    <w:tbl>
      <w:tblPr>
        <w:tblW w:w="261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1200"/>
      </w:tblGrid>
      <w:tr>
        <w:trPr>
          <w:trHeight w:val="5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808080"/>
                <w:szCs w:val="20"/>
                <w:lang w:eastAsia="de-DE"/>
              </w:rPr>
              <w:t>Nr.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-region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Bezeichnung Antigen</w:t>
            </w:r>
          </w:p>
        </w:tc>
      </w:tr>
      <w:tr>
        <w:trPr>
          <w:trHeight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val="en-US" w:eastAsia="de-DE"/>
              </w:rPr>
              <w:t>HSA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val="en-US" w:eastAsia="de-DE"/>
              </w:rPr>
              <w:t>ahIgG</w:t>
            </w:r>
            <w:proofErr w:type="spellEnd"/>
          </w:p>
        </w:tc>
      </w:tr>
      <w:tr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ahIgM</w:t>
            </w:r>
            <w:proofErr w:type="spellEnd"/>
          </w:p>
        </w:tc>
      </w:tr>
      <w:tr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D8L</w:t>
            </w:r>
          </w:p>
        </w:tc>
      </w:tr>
      <w:tr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L1R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val="en-US" w:eastAsia="de-DE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val="en-US" w:eastAsia="de-DE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B5R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A33R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val="en-US" w:eastAsia="de-DE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val="en-US" w:eastAsia="de-DE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val="en-US" w:eastAsia="de-DE"/>
              </w:rPr>
              <w:t>M1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ATI-N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val="en-US" w:eastAsia="de-DE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val="en-US" w:eastAsia="de-DE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B6</w:t>
            </w:r>
          </w:p>
        </w:tc>
      </w:tr>
      <w:tr>
        <w:trPr>
          <w:trHeight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VACV Lysat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val="en-US" w:eastAsia="de-DE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val="en-US" w:eastAsia="de-DE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E8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A5L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A29</w:t>
            </w:r>
          </w:p>
        </w:tc>
      </w:tr>
      <w:tr>
        <w:trPr>
          <w:trHeight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H3L</w:t>
            </w:r>
          </w:p>
        </w:tc>
      </w:tr>
      <w:tr>
        <w:trPr>
          <w:trHeight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Hep2 Lysat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A35R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ATI-C</w:t>
            </w:r>
          </w:p>
        </w:tc>
      </w:tr>
      <w:tr>
        <w:trPr>
          <w:trHeight w:hRule="exact" w:val="26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808080"/>
                <w:szCs w:val="20"/>
                <w:lang w:eastAsia="de-DE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de-DE"/>
              </w:rPr>
              <w:t>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de-DE"/>
              </w:rPr>
              <w:t>A27L</w:t>
            </w:r>
          </w:p>
        </w:tc>
      </w:tr>
    </w:tbl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Insgesamt 19 </w:t>
      </w:r>
      <w:proofErr w:type="spellStart"/>
      <w:r>
        <w:rPr>
          <w:b/>
        </w:rPr>
        <w:t>Bead</w:t>
      </w:r>
      <w:proofErr w:type="spellEnd"/>
      <w:r>
        <w:rPr>
          <w:b/>
        </w:rPr>
        <w:t>-IDs</w:t>
      </w:r>
    </w:p>
    <w:p>
      <w:pPr>
        <w:spacing w:after="0"/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br w:type="page"/>
      </w: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 xml:space="preserve">Plattenlayout: 2 Platten à 12 Seren </w:t>
      </w: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t>Platte 1 (Proben 1-20)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698"/>
        <w:gridCol w:w="698"/>
        <w:gridCol w:w="698"/>
        <w:gridCol w:w="698"/>
        <w:gridCol w:w="698"/>
        <w:gridCol w:w="697"/>
        <w:gridCol w:w="698"/>
        <w:gridCol w:w="698"/>
        <w:gridCol w:w="698"/>
        <w:gridCol w:w="698"/>
        <w:gridCol w:w="698"/>
        <w:gridCol w:w="698"/>
      </w:tblGrid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2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3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4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5</w:t>
            </w:r>
          </w:p>
        </w:tc>
        <w:tc>
          <w:tcPr>
            <w:tcW w:w="697" w:type="dxa"/>
            <w:tcBorders>
              <w:bottom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6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7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8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9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10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11</w:t>
            </w:r>
          </w:p>
        </w:tc>
        <w:tc>
          <w:tcPr>
            <w:tcW w:w="698" w:type="dxa"/>
            <w:tcBorders>
              <w:bottom w:val="single" w:sz="12" w:space="0" w:color="auto"/>
            </w:tcBorders>
            <w:shd w:val="clear" w:color="000000" w:fill="A6A6A6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12</w:t>
            </w:r>
          </w:p>
        </w:tc>
      </w:tr>
      <w:tr>
        <w:trPr>
          <w:trHeight w:val="290"/>
        </w:trPr>
        <w:tc>
          <w:tcPr>
            <w:tcW w:w="697" w:type="dxa"/>
            <w:tcBorders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NK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 xml:space="preserve">1 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NK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 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697" w:type="dxa"/>
            <w:tcBorders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B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NK 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NK 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</w:tr>
      <w:tr>
        <w:trPr>
          <w:trHeight w:val="290"/>
        </w:trPr>
        <w:tc>
          <w:tcPr>
            <w:tcW w:w="697" w:type="dxa"/>
            <w:tcBorders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697" w:type="dxa"/>
            <w:tcBorders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D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500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</w:tr>
      <w:tr>
        <w:trPr>
          <w:trHeight w:val="290"/>
        </w:trPr>
        <w:tc>
          <w:tcPr>
            <w:tcW w:w="697" w:type="dxa"/>
            <w:tcBorders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2000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2000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697" w:type="dxa"/>
            <w:tcBorders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F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8000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8000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</w:tr>
      <w:tr>
        <w:trPr>
          <w:trHeight w:val="290"/>
        </w:trPr>
        <w:tc>
          <w:tcPr>
            <w:tcW w:w="697" w:type="dxa"/>
            <w:tcBorders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G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32000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32000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697" w:type="dxa"/>
            <w:tcBorders>
              <w:right w:val="single" w:sz="12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H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128000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128000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Seren-Verdünnungen: Das Layout besteht aus 2 identischen Blöcken, nur Spalten 1-6 ansetzen.</w:t>
      </w:r>
    </w:p>
    <w:p>
      <w:pPr>
        <w:spacing w:after="0"/>
        <w:rPr>
          <w:b/>
          <w:szCs w:val="20"/>
        </w:rPr>
      </w:pPr>
      <w:r>
        <w:rPr>
          <w:b/>
          <w:szCs w:val="20"/>
        </w:rPr>
        <w:t xml:space="preserve">Im Assay je 50 µl nach Layout in Spalten 1-6 UND Spalten 7-12 transferieren. </w:t>
      </w: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t>Platte 2 (Proben 21-40)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698"/>
        <w:gridCol w:w="698"/>
        <w:gridCol w:w="698"/>
        <w:gridCol w:w="698"/>
        <w:gridCol w:w="698"/>
        <w:gridCol w:w="697"/>
        <w:gridCol w:w="698"/>
        <w:gridCol w:w="698"/>
        <w:gridCol w:w="698"/>
        <w:gridCol w:w="698"/>
        <w:gridCol w:w="698"/>
        <w:gridCol w:w="698"/>
      </w:tblGrid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2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3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4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6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7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8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9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10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11</w:t>
            </w:r>
          </w:p>
        </w:tc>
        <w:tc>
          <w:tcPr>
            <w:tcW w:w="698" w:type="dxa"/>
            <w:tcBorders>
              <w:bottom w:val="single" w:sz="4" w:space="0" w:color="auto"/>
            </w:tcBorders>
            <w:shd w:val="clear" w:color="000000" w:fill="A6A6A6"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12</w:t>
            </w:r>
          </w:p>
        </w:tc>
      </w:tr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NK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 xml:space="preserve">21 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NK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21 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lef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B</w:t>
            </w: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NK 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NK 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</w:tr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C</w:t>
            </w: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Blank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D</w:t>
            </w: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500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500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</w:tr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E</w:t>
            </w: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2000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2000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F</w:t>
            </w:r>
          </w:p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8000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8000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23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27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31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35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39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</w:tr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G</w:t>
            </w:r>
          </w:p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32000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40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32000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</w:t>
            </w:r>
          </w:p>
        </w:tc>
      </w:tr>
      <w:tr>
        <w:trPr>
          <w:trHeight w:val="290"/>
        </w:trPr>
        <w:tc>
          <w:tcPr>
            <w:tcW w:w="697" w:type="dxa"/>
            <w:shd w:val="clear" w:color="000000" w:fill="A6A6A6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H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VIG 128000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28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36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40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VIG 128000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24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28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32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36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  <w:tc>
          <w:tcPr>
            <w:tcW w:w="698" w:type="dxa"/>
            <w:tcBorders>
              <w:left w:val="single" w:sz="4" w:space="0" w:color="auto"/>
            </w:tcBorders>
            <w:shd w:val="clear" w:color="000000" w:fill="D9D9D9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40</w:t>
            </w:r>
          </w:p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1000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Seren-Verdünnungen: Das Layout besteht aus 2 identischen Blöcken, nur Spalten 1-6 ansetzen.</w:t>
      </w:r>
    </w:p>
    <w:p>
      <w:pPr>
        <w:spacing w:after="0"/>
        <w:rPr>
          <w:b/>
          <w:szCs w:val="20"/>
        </w:rPr>
      </w:pPr>
      <w:r>
        <w:rPr>
          <w:b/>
          <w:szCs w:val="20"/>
        </w:rPr>
        <w:t xml:space="preserve">Im Assay je 50 µl nach Layout in Spalten 1-6 UND Spalten 7-12 transferieren. 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Plattenlayout Sekundärantikörper</w:t>
      </w:r>
    </w:p>
    <w:p>
      <w:pPr>
        <w:spacing w:after="0"/>
      </w:pPr>
    </w:p>
    <w:tbl>
      <w:tblPr>
        <w:tblW w:w="987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>
        <w:trPr>
          <w:trHeight w:val="279"/>
        </w:trPr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IgG</w:t>
            </w:r>
            <w:proofErr w:type="spellEnd"/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IgM</w:t>
            </w:r>
            <w:proofErr w:type="spellEnd"/>
          </w:p>
        </w:tc>
      </w:tr>
      <w:tr>
        <w:trPr>
          <w:trHeight w:val="279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de-DE"/>
              </w:rPr>
              <w:t> 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2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3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4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5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7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8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9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10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12</w:t>
            </w:r>
          </w:p>
        </w:tc>
      </w:tr>
      <w:tr>
        <w:trPr>
          <w:trHeight w:val="279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A</w:t>
            </w:r>
          </w:p>
        </w:tc>
        <w:tc>
          <w:tcPr>
            <w:tcW w:w="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</w:tr>
      <w:tr>
        <w:trPr>
          <w:trHeight w:val="279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B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</w:tr>
      <w:tr>
        <w:trPr>
          <w:trHeight w:val="279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C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</w:tr>
      <w:tr>
        <w:trPr>
          <w:trHeight w:val="279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D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</w:tr>
      <w:tr>
        <w:trPr>
          <w:trHeight w:val="279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</w:tr>
      <w:tr>
        <w:trPr>
          <w:trHeight w:val="279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F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</w:tr>
      <w:tr>
        <w:trPr>
          <w:trHeight w:val="279"/>
        </w:trPr>
        <w:tc>
          <w:tcPr>
            <w:tcW w:w="441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G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</w:tr>
      <w:tr>
        <w:trPr>
          <w:trHeight w:val="288"/>
        </w:trPr>
        <w:tc>
          <w:tcPr>
            <w:tcW w:w="441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A6A6A6"/>
            <w:noWrap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de-DE"/>
              </w:rPr>
              <w:t>H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IgG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Anti-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IgM</w:t>
            </w:r>
            <w:proofErr w:type="spellEnd"/>
          </w:p>
        </w:tc>
      </w:tr>
    </w:tbl>
    <w:p>
      <w:pPr>
        <w:spacing w:after="0"/>
      </w:pPr>
    </w:p>
    <w:p>
      <w:pPr>
        <w:spacing w:after="0"/>
        <w:rPr>
          <w:b/>
          <w:sz w:val="28"/>
        </w:rPr>
      </w:pPr>
    </w:p>
    <w:p>
      <w:pPr>
        <w:spacing w:after="0"/>
        <w:rPr>
          <w:b/>
          <w:sz w:val="28"/>
        </w:rPr>
      </w:pPr>
      <w:r>
        <w:rPr>
          <w:b/>
          <w:sz w:val="28"/>
        </w:rPr>
        <w:t>Seren</w:t>
      </w:r>
    </w:p>
    <w:p>
      <w:r>
        <w:t xml:space="preserve">Die folgenden Seren sollen gemessen werden. </w:t>
      </w:r>
    </w:p>
    <w:p>
      <w:pPr>
        <w:rPr>
          <w:b/>
        </w:rPr>
      </w:pPr>
      <w:r>
        <w:rPr>
          <w:b/>
        </w:rPr>
        <w:t>NK-Serum: DS-2</w:t>
      </w:r>
    </w:p>
    <w:tbl>
      <w:tblPr>
        <w:tblW w:w="53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3133"/>
        <w:gridCol w:w="1120"/>
      </w:tblGrid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bookmarkStart w:id="1" w:name="_Hlk116977717"/>
            <w:bookmarkStart w:id="2" w:name="_Hlk116977793"/>
            <w:proofErr w:type="spellStart"/>
            <w:r>
              <w:rPr>
                <w:rFonts w:eastAsia="Times New Roman" w:cstheme="minorHAnsi"/>
                <w:b/>
                <w:bCs/>
                <w:color w:val="000000"/>
                <w:szCs w:val="20"/>
                <w:lang w:val="en-GB" w:eastAsia="de-DE"/>
              </w:rPr>
              <w:t>Nummer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val="en-GB" w:eastAsia="de-DE"/>
              </w:rPr>
              <w:t>Probe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val="en-GB" w:eastAsia="de-DE"/>
              </w:rPr>
              <w:t>Platte</w:t>
            </w:r>
          </w:p>
        </w:tc>
      </w:tr>
      <w:bookmarkEnd w:id="1"/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</w:t>
            </w:r>
          </w:p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SPox-0009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11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12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14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15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19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>
            <w:r>
              <w:rPr>
                <w:rFonts w:ascii="Calibri" w:hAnsi="Calibri" w:cs="Calibri"/>
                <w:color w:val="000000"/>
                <w:szCs w:val="20"/>
              </w:rPr>
              <w:t>Platte 1</w:t>
            </w:r>
          </w:p>
        </w:tc>
      </w:tr>
      <w:bookmarkEnd w:id="2"/>
    </w:tbl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W w:w="53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3133"/>
        <w:gridCol w:w="1120"/>
      </w:tblGrid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Cs w:val="20"/>
                <w:lang w:val="en-GB" w:eastAsia="de-DE"/>
              </w:rPr>
              <w:lastRenderedPageBreak/>
              <w:t>Nummer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val="en-GB" w:eastAsia="de-DE"/>
              </w:rPr>
              <w:t>Probe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val="en-GB" w:eastAsia="de-DE"/>
              </w:rPr>
              <w:t>Platte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21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23</w:t>
            </w:r>
          </w:p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24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25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26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27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28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29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SPox-0029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31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spacing w:after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33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34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35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36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37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38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39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SPox-0039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  <w:tr>
        <w:trPr>
          <w:trHeight w:hRule="exact" w:val="284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SPox-0040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>
            <w:p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Platte 2</w:t>
            </w:r>
          </w:p>
        </w:tc>
      </w:tr>
    </w:tbl>
    <w:p>
      <w:pPr>
        <w:spacing w:after="0"/>
        <w:rPr>
          <w:b/>
          <w:szCs w:val="20"/>
        </w:rPr>
      </w:pPr>
    </w:p>
    <w:p>
      <w:pPr>
        <w:rPr>
          <w:color w:val="FF0000"/>
        </w:rPr>
      </w:pPr>
      <w:r>
        <w:rPr>
          <w:color w:val="FF0000"/>
        </w:rPr>
        <w:t>Es sollte noch eine Standardisierte Dokumentation der Gemessenen Seren etabliert werden, z.B. Ablage in einer Exceltabelle nach definiertem Muster -&gt; Beispiel angelegt -&gt; mit Daniel Stern absprechen</w:t>
      </w:r>
    </w:p>
    <w:p>
      <w:pPr>
        <w:spacing w:after="0"/>
        <w:rPr>
          <w:b/>
          <w:sz w:val="28"/>
          <w:szCs w:val="20"/>
        </w:rPr>
      </w:pPr>
      <w:r>
        <w:rPr>
          <w:b/>
          <w:sz w:val="28"/>
          <w:szCs w:val="20"/>
        </w:rPr>
        <w:t>Verdünnung der Antikörper/Seren</w:t>
      </w:r>
    </w:p>
    <w:p>
      <w:pPr>
        <w:spacing w:after="0"/>
        <w:rPr>
          <w:szCs w:val="20"/>
        </w:rPr>
      </w:pPr>
      <w:r>
        <w:rPr>
          <w:szCs w:val="20"/>
        </w:rPr>
        <w:t xml:space="preserve">Die Antikörper werden mit der doppelten Konzentration angesetzt, da bei dem Assay-Setup 50 µl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 xml:space="preserve">-Mix mit 50 µl Antikörper gemischt werden, was eine </w:t>
      </w:r>
      <w:proofErr w:type="gramStart"/>
      <w:r>
        <w:rPr>
          <w:szCs w:val="20"/>
        </w:rPr>
        <w:t>weitere</w:t>
      </w:r>
      <w:proofErr w:type="gramEnd"/>
      <w:r>
        <w:rPr>
          <w:szCs w:val="20"/>
        </w:rPr>
        <w:t xml:space="preserve"> 1:2 Verdünnung darstellt. Je Antikörper und Verdünnung werden 3 x 50 µl, also 150 µl benötigt. Mindestens jeweils 250 µl, mindestens jedoch 2 µl pipettieren, da sonst der Verdünnungsfehler zu groß wird.</w:t>
      </w:r>
    </w:p>
    <w:p>
      <w:pPr>
        <w:spacing w:after="0"/>
        <w:rPr>
          <w:szCs w:val="20"/>
        </w:rPr>
      </w:pPr>
    </w:p>
    <w:p>
      <w:pPr>
        <w:spacing w:after="0"/>
        <w:rPr>
          <w:b/>
          <w:sz w:val="24"/>
          <w:szCs w:val="20"/>
        </w:rPr>
      </w:pPr>
      <w:r>
        <w:rPr>
          <w:b/>
          <w:sz w:val="24"/>
          <w:szCs w:val="20"/>
        </w:rPr>
        <w:t>NK (Negativ Kontrolle): DS2</w:t>
      </w:r>
    </w:p>
    <w:p>
      <w:pPr>
        <w:spacing w:after="0"/>
        <w:rPr>
          <w:szCs w:val="20"/>
        </w:rPr>
      </w:pPr>
      <w:r>
        <w:rPr>
          <w:b/>
          <w:szCs w:val="20"/>
        </w:rPr>
        <w:t>Well A1</w:t>
      </w:r>
      <w:r>
        <w:rPr>
          <w:b/>
          <w:szCs w:val="20"/>
        </w:rPr>
        <w:tab/>
      </w:r>
      <w:r>
        <w:rPr>
          <w:szCs w:val="20"/>
        </w:rPr>
        <w:t>NK 100: Erste Verdünnung 1:50 (final im Assay 1:100)</w:t>
      </w:r>
    </w:p>
    <w:p>
      <w:pPr>
        <w:spacing w:after="0"/>
        <w:ind w:firstLine="708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10 µl SeCoV-1036 + 490 µl Assay-Puffer </w:t>
      </w:r>
    </w:p>
    <w:p>
      <w:pPr>
        <w:spacing w:after="0"/>
        <w:ind w:firstLine="708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-&gt; </w:t>
      </w:r>
      <w:proofErr w:type="spellStart"/>
      <w:r>
        <w:rPr>
          <w:b/>
          <w:szCs w:val="20"/>
          <w:lang w:val="en-US"/>
        </w:rPr>
        <w:t>Mischen</w:t>
      </w:r>
      <w:proofErr w:type="spellEnd"/>
    </w:p>
    <w:p>
      <w:pPr>
        <w:spacing w:after="0"/>
        <w:rPr>
          <w:szCs w:val="20"/>
        </w:rPr>
      </w:pPr>
      <w:r>
        <w:rPr>
          <w:b/>
          <w:szCs w:val="20"/>
        </w:rPr>
        <w:t>Well B1</w:t>
      </w:r>
      <w:r>
        <w:rPr>
          <w:b/>
          <w:szCs w:val="20"/>
        </w:rPr>
        <w:tab/>
      </w:r>
      <w:r>
        <w:rPr>
          <w:szCs w:val="20"/>
        </w:rPr>
        <w:t>NK 1000: Zweite Verdünnung: 1:10</w:t>
      </w:r>
    </w:p>
    <w:p>
      <w:pPr>
        <w:spacing w:after="0"/>
        <w:ind w:firstLine="708"/>
        <w:rPr>
          <w:b/>
          <w:szCs w:val="20"/>
        </w:rPr>
      </w:pPr>
      <w:r>
        <w:rPr>
          <w:b/>
          <w:szCs w:val="20"/>
        </w:rPr>
        <w:t>40 µl der NK-Verdünnung + 450 µl Assay-Puffer</w:t>
      </w:r>
    </w:p>
    <w:p>
      <w:pPr>
        <w:spacing w:after="0"/>
        <w:ind w:firstLine="708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-&gt; </w:t>
      </w:r>
      <w:proofErr w:type="spellStart"/>
      <w:r>
        <w:rPr>
          <w:b/>
          <w:szCs w:val="20"/>
          <w:lang w:val="en-US"/>
        </w:rPr>
        <w:t>Mischen</w:t>
      </w:r>
      <w:proofErr w:type="spellEnd"/>
    </w:p>
    <w:p>
      <w:pPr>
        <w:spacing w:after="0"/>
        <w:rPr>
          <w:szCs w:val="20"/>
          <w:lang w:val="en-US"/>
        </w:rPr>
      </w:pPr>
    </w:p>
    <w:p>
      <w:pPr>
        <w:spacing w:after="0"/>
        <w:rPr>
          <w:b/>
          <w:szCs w:val="20"/>
          <w:lang w:val="en-US"/>
        </w:rPr>
      </w:pPr>
      <w:r>
        <w:rPr>
          <w:b/>
          <w:szCs w:val="20"/>
          <w:lang w:val="en-US"/>
        </w:rPr>
        <w:t>Blank:</w:t>
      </w:r>
    </w:p>
    <w:p>
      <w:pPr>
        <w:spacing w:after="0"/>
        <w:rPr>
          <w:szCs w:val="20"/>
          <w:lang w:val="en-US"/>
        </w:rPr>
      </w:pPr>
      <w:r>
        <w:rPr>
          <w:b/>
          <w:szCs w:val="20"/>
          <w:lang w:val="en-US"/>
        </w:rPr>
        <w:t>Well C1</w:t>
      </w:r>
      <w:r>
        <w:rPr>
          <w:b/>
          <w:szCs w:val="20"/>
          <w:lang w:val="en-US"/>
        </w:rPr>
        <w:tab/>
        <w:t>Assay-Puffer</w:t>
      </w:r>
      <w:r>
        <w:rPr>
          <w:szCs w:val="20"/>
          <w:lang w:val="en-US"/>
        </w:rPr>
        <w:t xml:space="preserve">, </w:t>
      </w:r>
      <w:proofErr w:type="spellStart"/>
      <w:r>
        <w:rPr>
          <w:szCs w:val="20"/>
          <w:lang w:val="en-US"/>
        </w:rPr>
        <w:t>z.B</w:t>
      </w:r>
      <w:proofErr w:type="spellEnd"/>
      <w:r>
        <w:rPr>
          <w:szCs w:val="20"/>
          <w:lang w:val="en-US"/>
        </w:rPr>
        <w:t>. 400 µl</w:t>
      </w:r>
    </w:p>
    <w:p>
      <w:pPr>
        <w:spacing w:after="0"/>
        <w:rPr>
          <w:szCs w:val="20"/>
          <w:lang w:val="en-US"/>
        </w:rPr>
      </w:pPr>
    </w:p>
    <w:p>
      <w:pPr>
        <w:spacing w:after="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VIG Verdünnungsreihe: </w:t>
      </w:r>
    </w:p>
    <w:p>
      <w:pPr>
        <w:spacing w:after="0"/>
        <w:rPr>
          <w:b/>
          <w:szCs w:val="20"/>
        </w:rPr>
      </w:pPr>
      <w:r>
        <w:rPr>
          <w:b/>
          <w:szCs w:val="20"/>
        </w:rPr>
        <w:t>Wells D1-H1, nach jeder Verdünnung mischen</w:t>
      </w:r>
    </w:p>
    <w:p>
      <w:pPr>
        <w:spacing w:after="0"/>
        <w:ind w:firstLine="708"/>
        <w:rPr>
          <w:szCs w:val="20"/>
        </w:rPr>
      </w:pPr>
      <w:r>
        <w:rPr>
          <w:b/>
          <w:szCs w:val="20"/>
        </w:rPr>
        <w:t>VIG</w:t>
      </w:r>
      <w:r>
        <w:rPr>
          <w:szCs w:val="20"/>
        </w:rPr>
        <w:t xml:space="preserve"> soll 1:500 als erste Verdünnung eingesetzt werden (Verdünnung 1:250, final im Assay 1:500)</w:t>
      </w:r>
    </w:p>
    <w:p>
      <w:pPr>
        <w:spacing w:after="0"/>
        <w:rPr>
          <w:szCs w:val="20"/>
          <w:lang w:val="en-US"/>
        </w:rPr>
      </w:pPr>
      <w:r>
        <w:rPr>
          <w:b/>
          <w:szCs w:val="20"/>
          <w:lang w:val="en-US"/>
        </w:rPr>
        <w:t>Well D1</w:t>
      </w:r>
      <w:r>
        <w:rPr>
          <w:b/>
          <w:szCs w:val="20"/>
          <w:lang w:val="en-US"/>
        </w:rPr>
        <w:tab/>
      </w:r>
      <w:r>
        <w:rPr>
          <w:b/>
          <w:szCs w:val="20"/>
          <w:lang w:val="en-US"/>
        </w:rPr>
        <w:tab/>
        <w:t xml:space="preserve">3 µl + 747 µl </w:t>
      </w:r>
      <w:proofErr w:type="spellStart"/>
      <w:r>
        <w:rPr>
          <w:b/>
          <w:szCs w:val="20"/>
          <w:lang w:val="en-US"/>
        </w:rPr>
        <w:t>Assaypuffer</w:t>
      </w:r>
      <w:proofErr w:type="spellEnd"/>
      <w:r>
        <w:rPr>
          <w:b/>
          <w:szCs w:val="20"/>
          <w:lang w:val="en-US"/>
        </w:rPr>
        <w:t xml:space="preserve"> </w:t>
      </w:r>
    </w:p>
    <w:p>
      <w:pPr>
        <w:pStyle w:val="Listenabsatz"/>
        <w:spacing w:after="0"/>
        <w:ind w:left="1440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-&gt; </w:t>
      </w:r>
      <w:proofErr w:type="spellStart"/>
      <w:r>
        <w:rPr>
          <w:b/>
          <w:szCs w:val="20"/>
          <w:lang w:val="en-US"/>
        </w:rPr>
        <w:t>Mischen</w:t>
      </w:r>
      <w:proofErr w:type="spellEnd"/>
    </w:p>
    <w:p>
      <w:pPr>
        <w:spacing w:after="0"/>
        <w:ind w:firstLine="708"/>
        <w:rPr>
          <w:szCs w:val="20"/>
        </w:rPr>
      </w:pPr>
      <w:r>
        <w:rPr>
          <w:szCs w:val="20"/>
        </w:rPr>
        <w:t>Weitere Verdünnungen In serieller Verdünnungsreihe 1:4 (600 µl ansetzen)</w:t>
      </w:r>
    </w:p>
    <w:p>
      <w:pPr>
        <w:spacing w:after="0"/>
        <w:rPr>
          <w:b/>
          <w:szCs w:val="20"/>
        </w:rPr>
      </w:pPr>
      <w:r>
        <w:rPr>
          <w:b/>
          <w:szCs w:val="20"/>
        </w:rPr>
        <w:t>Well E1, F1, G1, H1</w:t>
      </w:r>
      <w:r>
        <w:rPr>
          <w:b/>
          <w:szCs w:val="20"/>
        </w:rPr>
        <w:tab/>
        <w:t xml:space="preserve">150 µl Vorverdünnung + 450 µl </w:t>
      </w:r>
      <w:proofErr w:type="spellStart"/>
      <w:r>
        <w:rPr>
          <w:b/>
          <w:szCs w:val="20"/>
        </w:rPr>
        <w:t>Assaypuffer</w:t>
      </w:r>
      <w:proofErr w:type="spellEnd"/>
      <w:r>
        <w:rPr>
          <w:b/>
          <w:szCs w:val="20"/>
        </w:rPr>
        <w:t xml:space="preserve"> </w:t>
      </w:r>
    </w:p>
    <w:p>
      <w:pPr>
        <w:pStyle w:val="Listenabsatz"/>
        <w:spacing w:after="0"/>
        <w:ind w:left="2160"/>
        <w:rPr>
          <w:b/>
          <w:szCs w:val="20"/>
        </w:rPr>
      </w:pPr>
      <w:r>
        <w:rPr>
          <w:b/>
          <w:szCs w:val="20"/>
        </w:rPr>
        <w:t xml:space="preserve">-&gt; Mischen </w:t>
      </w:r>
    </w:p>
    <w:p>
      <w:pPr>
        <w:pStyle w:val="Listenabsatz"/>
        <w:spacing w:after="0"/>
        <w:ind w:left="1440"/>
        <w:rPr>
          <w:szCs w:val="20"/>
        </w:rPr>
      </w:pPr>
      <w:r>
        <w:rPr>
          <w:szCs w:val="20"/>
        </w:rPr>
        <w:t xml:space="preserve">Insgesamt 5 Verdünnungsstufen ansetzen </w:t>
      </w:r>
      <w:r>
        <w:rPr>
          <w:b/>
          <w:szCs w:val="20"/>
        </w:rPr>
        <w:t>(siehe Layout)</w:t>
      </w:r>
    </w:p>
    <w:p>
      <w:pPr>
        <w:spacing w:after="0"/>
        <w:rPr>
          <w:szCs w:val="20"/>
        </w:rPr>
      </w:pPr>
    </w:p>
    <w:p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Verdünnung der inaktivierten Seren für den </w:t>
      </w:r>
      <w:proofErr w:type="spellStart"/>
      <w:r>
        <w:rPr>
          <w:b/>
          <w:sz w:val="24"/>
        </w:rPr>
        <w:t>IgG</w:t>
      </w:r>
      <w:proofErr w:type="spellEnd"/>
      <w:r>
        <w:rPr>
          <w:b/>
          <w:sz w:val="24"/>
        </w:rPr>
        <w:t xml:space="preserve">-/ und </w:t>
      </w:r>
      <w:proofErr w:type="spellStart"/>
      <w:r>
        <w:rPr>
          <w:b/>
          <w:sz w:val="24"/>
        </w:rPr>
        <w:t>IgM</w:t>
      </w:r>
      <w:proofErr w:type="spellEnd"/>
      <w:r>
        <w:rPr>
          <w:b/>
          <w:sz w:val="24"/>
        </w:rPr>
        <w:t>-Nachweis</w:t>
      </w:r>
    </w:p>
    <w:p>
      <w:pPr>
        <w:spacing w:after="0"/>
        <w:rPr>
          <w:szCs w:val="20"/>
        </w:rPr>
      </w:pPr>
      <w:r>
        <w:rPr>
          <w:b/>
          <w:szCs w:val="20"/>
        </w:rPr>
        <w:t xml:space="preserve">Seren </w:t>
      </w:r>
      <w:r>
        <w:rPr>
          <w:szCs w:val="20"/>
        </w:rPr>
        <w:t xml:space="preserve">sollen 1:75 als erste Verdünnung angesetzt werden. Die Triton-Inaktivierung beinhaltet bereits eine kleine Verdünnung (75 µl Serum + 25 µl Triton-Puffer). Da der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>-Mix eine weitere 1:1 Verdünnung darstellt, wird eine 1:37,5 Verdünnung angesetzt, im finalen Assay ergibt sich eine 1:100 Verdünnung.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b/>
          <w:szCs w:val="20"/>
        </w:rPr>
        <w:t>#, 100:</w:t>
      </w:r>
      <w:r>
        <w:rPr>
          <w:szCs w:val="20"/>
        </w:rPr>
        <w:t xml:space="preserve"> </w:t>
      </w:r>
      <w:r>
        <w:rPr>
          <w:szCs w:val="20"/>
        </w:rPr>
        <w:tab/>
        <w:t>1:37,5 Verdünnung</w:t>
      </w:r>
    </w:p>
    <w:p>
      <w:pPr>
        <w:spacing w:after="0"/>
        <w:ind w:firstLine="708"/>
      </w:pPr>
      <w:r>
        <w:rPr>
          <w:b/>
        </w:rPr>
        <w:t>10 µL Serum + 365 µL Assay-Puffer</w:t>
      </w:r>
      <w:r>
        <w:t xml:space="preserve">, </w:t>
      </w:r>
    </w:p>
    <w:p>
      <w:pPr>
        <w:spacing w:after="0"/>
        <w:ind w:firstLine="708"/>
        <w:rPr>
          <w:b/>
          <w:szCs w:val="20"/>
        </w:rPr>
      </w:pPr>
      <w:r>
        <w:rPr>
          <w:b/>
        </w:rPr>
        <w:t xml:space="preserve">-&gt; Mischen </w:t>
      </w:r>
    </w:p>
    <w:p>
      <w:pPr>
        <w:spacing w:after="0"/>
      </w:pPr>
      <w:r>
        <w:rPr>
          <w:b/>
        </w:rPr>
        <w:t>#, 1000:</w:t>
      </w:r>
      <w:r>
        <w:t xml:space="preserve"> </w:t>
      </w:r>
      <w:r>
        <w:tab/>
        <w:t>weitere 1:10 Verdünnung</w:t>
      </w:r>
    </w:p>
    <w:p>
      <w:pPr>
        <w:spacing w:after="0"/>
        <w:ind w:firstLine="708"/>
      </w:pPr>
      <w:r>
        <w:rPr>
          <w:b/>
        </w:rPr>
        <w:t>40 µL Verdünnung + 360 µL Assay-Puffer</w:t>
      </w:r>
    </w:p>
    <w:p>
      <w:pPr>
        <w:spacing w:after="0"/>
        <w:ind w:firstLine="360"/>
        <w:rPr>
          <w:b/>
          <w:szCs w:val="20"/>
        </w:rPr>
      </w:pPr>
      <w:r>
        <w:rPr>
          <w:szCs w:val="20"/>
        </w:rPr>
        <w:tab/>
      </w:r>
      <w:r>
        <w:rPr>
          <w:b/>
        </w:rPr>
        <w:t xml:space="preserve">-&gt; Mischen </w:t>
      </w: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Cs w:val="20"/>
        </w:rPr>
      </w:pPr>
    </w:p>
    <w:p>
      <w:pPr>
        <w:spacing w:after="0"/>
        <w:rPr>
          <w:b/>
          <w:sz w:val="28"/>
          <w:szCs w:val="20"/>
        </w:rPr>
      </w:pPr>
      <w:proofErr w:type="spellStart"/>
      <w:r>
        <w:rPr>
          <w:b/>
          <w:sz w:val="28"/>
          <w:szCs w:val="20"/>
        </w:rPr>
        <w:t>Bead</w:t>
      </w:r>
      <w:proofErr w:type="spellEnd"/>
      <w:r>
        <w:rPr>
          <w:b/>
          <w:sz w:val="28"/>
          <w:szCs w:val="20"/>
        </w:rPr>
        <w:t>-Mix</w:t>
      </w:r>
    </w:p>
    <w:p>
      <w:pPr>
        <w:spacing w:after="0"/>
        <w:rPr>
          <w:b/>
          <w:szCs w:val="20"/>
        </w:rPr>
      </w:pPr>
      <w:proofErr w:type="spellStart"/>
      <w:r>
        <w:rPr>
          <w:b/>
          <w:szCs w:val="20"/>
        </w:rPr>
        <w:t>Bead</w:t>
      </w:r>
      <w:proofErr w:type="spellEnd"/>
      <w:r>
        <w:rPr>
          <w:b/>
          <w:szCs w:val="20"/>
        </w:rPr>
        <w:t xml:space="preserve">-Mix für 2 Platten: </w:t>
      </w:r>
    </w:p>
    <w:p>
      <w:pPr>
        <w:spacing w:after="0"/>
        <w:rPr>
          <w:szCs w:val="20"/>
        </w:rPr>
      </w:pPr>
      <w:r>
        <w:rPr>
          <w:szCs w:val="20"/>
        </w:rPr>
        <w:t xml:space="preserve">Ansatz </w:t>
      </w:r>
      <w:r>
        <w:rPr>
          <w:b/>
          <w:szCs w:val="20"/>
        </w:rPr>
        <w:t>für 2 volle 96-Well-Platten</w:t>
      </w:r>
      <w:r>
        <w:rPr>
          <w:szCs w:val="20"/>
        </w:rPr>
        <w:t xml:space="preserve"> + Überschuss (für insgesamt 208 Wells):</w:t>
      </w:r>
    </w:p>
    <w:p>
      <w:pPr>
        <w:pStyle w:val="Listenabsatz"/>
        <w:numPr>
          <w:ilvl w:val="0"/>
          <w:numId w:val="2"/>
        </w:numPr>
        <w:spacing w:after="0"/>
        <w:rPr>
          <w:szCs w:val="20"/>
        </w:rPr>
      </w:pPr>
      <w:r>
        <w:rPr>
          <w:szCs w:val="20"/>
        </w:rPr>
        <w:t xml:space="preserve">10,4 ml ansetzen -&gt; je ID 1:200 bei 4000 </w:t>
      </w:r>
      <w:proofErr w:type="spellStart"/>
      <w:r>
        <w:rPr>
          <w:szCs w:val="20"/>
        </w:rPr>
        <w:t>Beads</w:t>
      </w:r>
      <w:proofErr w:type="spellEnd"/>
      <w:r>
        <w:rPr>
          <w:szCs w:val="20"/>
        </w:rPr>
        <w:t>/µl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b/>
          <w:szCs w:val="20"/>
        </w:rPr>
        <w:t xml:space="preserve">9,40 ml </w:t>
      </w:r>
      <w:proofErr w:type="spellStart"/>
      <w:r>
        <w:rPr>
          <w:b/>
          <w:szCs w:val="20"/>
        </w:rPr>
        <w:t>Assaypuffer</w:t>
      </w:r>
      <w:proofErr w:type="spellEnd"/>
      <w:r>
        <w:rPr>
          <w:szCs w:val="20"/>
        </w:rPr>
        <w:t xml:space="preserve"> </w:t>
      </w:r>
    </w:p>
    <w:p>
      <w:pPr>
        <w:pStyle w:val="Listenabsatz"/>
        <w:numPr>
          <w:ilvl w:val="1"/>
          <w:numId w:val="2"/>
        </w:numPr>
        <w:spacing w:after="0"/>
        <w:rPr>
          <w:szCs w:val="20"/>
        </w:rPr>
      </w:pPr>
      <w:r>
        <w:rPr>
          <w:b/>
          <w:szCs w:val="20"/>
        </w:rPr>
        <w:t xml:space="preserve">52 µl je </w:t>
      </w:r>
      <w:proofErr w:type="spellStart"/>
      <w:r>
        <w:rPr>
          <w:b/>
          <w:szCs w:val="20"/>
        </w:rPr>
        <w:t>Beadregion</w:t>
      </w:r>
      <w:proofErr w:type="spellEnd"/>
      <w:r>
        <w:rPr>
          <w:szCs w:val="20"/>
        </w:rPr>
        <w:t xml:space="preserve"> = 19 * 52 = 988 µl (alle </w:t>
      </w:r>
      <w:proofErr w:type="spellStart"/>
      <w:r>
        <w:rPr>
          <w:szCs w:val="20"/>
        </w:rPr>
        <w:t>Bead</w:t>
      </w:r>
      <w:proofErr w:type="spellEnd"/>
      <w:r>
        <w:rPr>
          <w:szCs w:val="20"/>
        </w:rPr>
        <w:t>-Regionen gleich)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p>
      <w:pPr>
        <w:spacing w:after="0"/>
        <w:rPr>
          <w:b/>
          <w:sz w:val="28"/>
        </w:rPr>
      </w:pPr>
      <w:r>
        <w:rPr>
          <w:b/>
          <w:sz w:val="28"/>
        </w:rPr>
        <w:t>Detektionsantikörper</w:t>
      </w:r>
    </w:p>
    <w:p>
      <w:pPr>
        <w:spacing w:after="0"/>
        <w:rPr>
          <w:szCs w:val="20"/>
        </w:rPr>
      </w:pPr>
    </w:p>
    <w:tbl>
      <w:tblPr>
        <w:tblW w:w="5472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"/>
        <w:gridCol w:w="3052"/>
        <w:gridCol w:w="992"/>
        <w:gridCol w:w="1273"/>
        <w:gridCol w:w="1416"/>
        <w:gridCol w:w="990"/>
        <w:gridCol w:w="1847"/>
      </w:tblGrid>
      <w:tr>
        <w:trPr>
          <w:trHeight w:val="284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  <w:t>Nr</w:t>
            </w:r>
            <w:proofErr w:type="spellEnd"/>
          </w:p>
        </w:tc>
        <w:tc>
          <w:tcPr>
            <w:tcW w:w="1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  <w:t>Nachweisantikörper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  <w:t>Hersteller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  <w:t xml:space="preserve">Produkt-Nr. 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  <w:t>Konzentration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  <w:t>Einsatz im Assay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Cs w:val="20"/>
                <w:lang w:eastAsia="de-DE"/>
              </w:rPr>
              <w:t>Lagerort</w:t>
            </w:r>
          </w:p>
        </w:tc>
      </w:tr>
      <w:tr>
        <w:trPr>
          <w:trHeight w:val="612"/>
        </w:trPr>
        <w:tc>
          <w:tcPr>
            <w:tcW w:w="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1</w:t>
            </w:r>
          </w:p>
        </w:tc>
        <w:tc>
          <w:tcPr>
            <w:tcW w:w="1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 xml:space="preserve">Goat Anti-Human </w:t>
            </w:r>
            <w:r>
              <w:rPr>
                <w:rFonts w:cstheme="minorHAnsi"/>
                <w:b/>
                <w:szCs w:val="20"/>
                <w:lang w:val="en-US" w:eastAsia="de-DE"/>
              </w:rPr>
              <w:t>IgG</w:t>
            </w:r>
            <w:r>
              <w:rPr>
                <w:rFonts w:cstheme="minorHAnsi"/>
                <w:szCs w:val="20"/>
                <w:lang w:val="en-US" w:eastAsia="de-DE"/>
              </w:rPr>
              <w:t xml:space="preserve"> PE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Jackson /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Dianova</w:t>
            </w:r>
            <w:proofErr w:type="spellEnd"/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109-115-098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0,5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1:500</w:t>
            </w:r>
          </w:p>
        </w:tc>
        <w:tc>
          <w:tcPr>
            <w:tcW w:w="9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In Arbeitsbox, weiterer in</w:t>
            </w:r>
          </w:p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ZBS3-KS5 Fach 2 Box 233</w:t>
            </w:r>
          </w:p>
        </w:tc>
      </w:tr>
      <w:tr>
        <w:trPr>
          <w:trHeight w:val="612"/>
        </w:trPr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  <w:rPr>
                <w:rFonts w:cstheme="minorHAnsi"/>
                <w:b/>
                <w:szCs w:val="20"/>
                <w:lang w:eastAsia="de-DE"/>
              </w:rPr>
            </w:pPr>
            <w:r>
              <w:rPr>
                <w:rFonts w:cstheme="minorHAnsi"/>
                <w:b/>
                <w:szCs w:val="20"/>
                <w:lang w:eastAsia="de-DE"/>
              </w:rPr>
              <w:t>2</w:t>
            </w:r>
          </w:p>
        </w:tc>
        <w:tc>
          <w:tcPr>
            <w:tcW w:w="1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val="en-US" w:eastAsia="de-DE"/>
              </w:rPr>
            </w:pPr>
            <w:r>
              <w:rPr>
                <w:rFonts w:cstheme="minorHAnsi"/>
                <w:szCs w:val="20"/>
                <w:lang w:val="en-US" w:eastAsia="de-DE"/>
              </w:rPr>
              <w:t xml:space="preserve">Donkey anti-Human </w:t>
            </w:r>
            <w:r>
              <w:rPr>
                <w:rFonts w:cstheme="minorHAnsi"/>
                <w:b/>
                <w:szCs w:val="20"/>
                <w:lang w:val="en-US" w:eastAsia="de-DE"/>
              </w:rPr>
              <w:t>IgM</w:t>
            </w:r>
            <w:r>
              <w:rPr>
                <w:rFonts w:cstheme="minorHAnsi"/>
                <w:szCs w:val="20"/>
                <w:lang w:val="en-US" w:eastAsia="de-DE"/>
              </w:rPr>
              <w:t>, Fc5µ, PE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pPr>
              <w:spacing w:after="0"/>
              <w:rPr>
                <w:rFonts w:cstheme="minorHAnsi"/>
                <w:szCs w:val="20"/>
                <w:lang w:val="en-GB"/>
              </w:rPr>
            </w:pPr>
            <w:r>
              <w:rPr>
                <w:rFonts w:cstheme="minorHAnsi"/>
                <w:szCs w:val="20"/>
                <w:lang w:eastAsia="de-DE"/>
              </w:rPr>
              <w:t xml:space="preserve">Jackson / 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Dianova</w:t>
            </w:r>
            <w:proofErr w:type="spellEnd"/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709-116-073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0,5 mg/</w:t>
            </w:r>
            <w:proofErr w:type="spellStart"/>
            <w:r>
              <w:rPr>
                <w:rFonts w:cstheme="minorHAnsi"/>
                <w:szCs w:val="20"/>
                <w:lang w:eastAsia="de-DE"/>
              </w:rPr>
              <w:t>mL</w:t>
            </w:r>
            <w:proofErr w:type="spellEnd"/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1:500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In Arbeitsbox, weiterer in</w:t>
            </w:r>
          </w:p>
          <w:p>
            <w:pPr>
              <w:spacing w:after="0"/>
              <w:rPr>
                <w:rFonts w:cstheme="minorHAnsi"/>
                <w:szCs w:val="20"/>
                <w:lang w:eastAsia="de-DE"/>
              </w:rPr>
            </w:pPr>
            <w:r>
              <w:rPr>
                <w:rFonts w:cstheme="minorHAnsi"/>
                <w:szCs w:val="20"/>
                <w:lang w:eastAsia="de-DE"/>
              </w:rPr>
              <w:t>ZBS3-KS5 Fach 1 Box 300</w:t>
            </w:r>
          </w:p>
        </w:tc>
      </w:tr>
    </w:tbl>
    <w:p>
      <w:pPr>
        <w:spacing w:after="0"/>
        <w:rPr>
          <w:szCs w:val="20"/>
        </w:rPr>
      </w:pPr>
    </w:p>
    <w:p>
      <w:pPr>
        <w:spacing w:after="0"/>
        <w:rPr>
          <w:b/>
          <w:szCs w:val="20"/>
        </w:rPr>
      </w:pPr>
      <w:r>
        <w:rPr>
          <w:b/>
          <w:szCs w:val="20"/>
        </w:rPr>
        <w:t>Notieren welches Lot verwendet wurde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>Benötigtes Volumen je Detektionsantikörper 5000 µl, also jeweils 5500 µl ansetzen</w:t>
      </w:r>
    </w:p>
    <w:p>
      <w:pPr>
        <w:spacing w:after="0"/>
        <w:rPr>
          <w:szCs w:val="20"/>
        </w:rPr>
      </w:pPr>
      <w:r>
        <w:rPr>
          <w:b/>
          <w:szCs w:val="20"/>
        </w:rPr>
        <w:t>Für 2 Platten</w:t>
      </w:r>
      <w:r>
        <w:rPr>
          <w:szCs w:val="20"/>
        </w:rPr>
        <w:t xml:space="preserve"> doppelte Menge plus größeren Überschuss: 11000 µl ansetzen</w:t>
      </w:r>
    </w:p>
    <w:p>
      <w:pPr>
        <w:pStyle w:val="Listenabsatz"/>
        <w:numPr>
          <w:ilvl w:val="0"/>
          <w:numId w:val="5"/>
        </w:numPr>
        <w:spacing w:after="0"/>
        <w:rPr>
          <w:szCs w:val="20"/>
        </w:rPr>
      </w:pPr>
      <w:r>
        <w:rPr>
          <w:b/>
          <w:szCs w:val="20"/>
        </w:rPr>
        <w:t xml:space="preserve">Anti-Human </w:t>
      </w:r>
      <w:proofErr w:type="spellStart"/>
      <w:r>
        <w:rPr>
          <w:b/>
          <w:szCs w:val="20"/>
        </w:rPr>
        <w:t>IgG</w:t>
      </w:r>
      <w:proofErr w:type="spellEnd"/>
      <w:r>
        <w:rPr>
          <w:b/>
          <w:szCs w:val="20"/>
        </w:rPr>
        <w:t xml:space="preserve"> PE</w:t>
      </w:r>
      <w:r>
        <w:rPr>
          <w:szCs w:val="20"/>
        </w:rPr>
        <w:t xml:space="preserve"> 1:500 Verdünnung</w:t>
      </w:r>
    </w:p>
    <w:p>
      <w:pPr>
        <w:pStyle w:val="Listenabsatz"/>
        <w:numPr>
          <w:ilvl w:val="1"/>
          <w:numId w:val="5"/>
        </w:numPr>
        <w:spacing w:after="0"/>
        <w:rPr>
          <w:szCs w:val="20"/>
        </w:rPr>
      </w:pPr>
      <w:r>
        <w:rPr>
          <w:szCs w:val="20"/>
        </w:rPr>
        <w:t xml:space="preserve">22 µl Antikörper + 11, 0 ml </w:t>
      </w:r>
      <w:proofErr w:type="spellStart"/>
      <w:r>
        <w:rPr>
          <w:szCs w:val="20"/>
        </w:rPr>
        <w:t>Assaypuffer</w:t>
      </w:r>
      <w:proofErr w:type="spellEnd"/>
    </w:p>
    <w:p>
      <w:pPr>
        <w:pStyle w:val="Listenabsatz"/>
        <w:numPr>
          <w:ilvl w:val="0"/>
          <w:numId w:val="5"/>
        </w:numPr>
        <w:spacing w:after="0"/>
        <w:rPr>
          <w:szCs w:val="20"/>
        </w:rPr>
      </w:pPr>
      <w:r>
        <w:rPr>
          <w:b/>
          <w:szCs w:val="20"/>
        </w:rPr>
        <w:t xml:space="preserve">Anti-Human </w:t>
      </w:r>
      <w:proofErr w:type="spellStart"/>
      <w:r>
        <w:rPr>
          <w:b/>
          <w:szCs w:val="20"/>
        </w:rPr>
        <w:t>IgM</w:t>
      </w:r>
      <w:proofErr w:type="spellEnd"/>
      <w:r>
        <w:rPr>
          <w:b/>
          <w:szCs w:val="20"/>
        </w:rPr>
        <w:t xml:space="preserve"> PE</w:t>
      </w:r>
      <w:r>
        <w:rPr>
          <w:szCs w:val="20"/>
        </w:rPr>
        <w:t xml:space="preserve"> 1:500 Verdünnung</w:t>
      </w:r>
    </w:p>
    <w:p>
      <w:pPr>
        <w:pStyle w:val="Listenabsatz"/>
        <w:numPr>
          <w:ilvl w:val="1"/>
          <w:numId w:val="5"/>
        </w:numPr>
        <w:spacing w:after="0"/>
        <w:rPr>
          <w:szCs w:val="20"/>
        </w:rPr>
      </w:pPr>
      <w:r>
        <w:rPr>
          <w:szCs w:val="20"/>
        </w:rPr>
        <w:t xml:space="preserve">22 µl Antikörper + 11,0 ml </w:t>
      </w:r>
      <w:proofErr w:type="spellStart"/>
      <w:r>
        <w:rPr>
          <w:szCs w:val="20"/>
        </w:rPr>
        <w:t>Assaypuffer</w:t>
      </w:r>
      <w:proofErr w:type="spellEnd"/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  <w:r>
        <w:rPr>
          <w:szCs w:val="20"/>
        </w:rPr>
        <w:t xml:space="preserve">Die </w:t>
      </w:r>
      <w:r>
        <w:rPr>
          <w:b/>
          <w:szCs w:val="20"/>
        </w:rPr>
        <w:t>Detektionsantikörper sind lichtempfindlich</w:t>
      </w:r>
      <w:r>
        <w:rPr>
          <w:szCs w:val="20"/>
        </w:rPr>
        <w:t>, da sie einen Fluoreszenzfarbstoff enthalten.</w:t>
      </w:r>
    </w:p>
    <w:p>
      <w:pPr>
        <w:spacing w:after="0"/>
        <w:rPr>
          <w:szCs w:val="20"/>
        </w:rPr>
      </w:pPr>
      <w:r>
        <w:rPr>
          <w:szCs w:val="20"/>
        </w:rPr>
        <w:t>Entsprechend müssen die Antikörper bis zur Verwendung und zur Zwischenlagerung lichtgeschützt gelagert werden.</w:t>
      </w:r>
    </w:p>
    <w:p>
      <w:pPr>
        <w:spacing w:after="0"/>
        <w:rPr>
          <w:szCs w:val="20"/>
        </w:rPr>
      </w:pPr>
    </w:p>
    <w:p>
      <w:pPr>
        <w:spacing w:after="0"/>
        <w:rPr>
          <w:szCs w:val="20"/>
        </w:rPr>
      </w:pPr>
    </w:p>
    <w:sectPr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tabs>
        <w:tab w:val="left" w:pos="440"/>
      </w:tabs>
    </w:pPr>
    <w:r>
      <w:tab/>
      <w:t>Autoren: Fridolin Treindl, Daniel Stern</w:t>
    </w:r>
    <w:r>
      <w:tab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proofErr w:type="spellStart"/>
    <w:r>
      <w:t>SPox</w:t>
    </w:r>
    <w:proofErr w:type="spellEnd"/>
    <w:r>
      <w:t xml:space="preserve"> Versuchsprotokoll Version 01</w:t>
    </w:r>
    <w:r>
      <w:tab/>
    </w:r>
    <w:r>
      <w:tab/>
      <w:t>10.07.2023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5B"/>
    <w:multiLevelType w:val="hybridMultilevel"/>
    <w:tmpl w:val="AA7E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22C5"/>
    <w:multiLevelType w:val="hybridMultilevel"/>
    <w:tmpl w:val="AB08DDE0"/>
    <w:lvl w:ilvl="0" w:tplc="83A49556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20246"/>
    <w:multiLevelType w:val="hybridMultilevel"/>
    <w:tmpl w:val="5ECE72C0"/>
    <w:lvl w:ilvl="0" w:tplc="44224F8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03C0"/>
    <w:multiLevelType w:val="hybridMultilevel"/>
    <w:tmpl w:val="81EA6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62A9"/>
    <w:multiLevelType w:val="hybridMultilevel"/>
    <w:tmpl w:val="8A42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72DE5"/>
    <w:multiLevelType w:val="hybridMultilevel"/>
    <w:tmpl w:val="DD06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F482B-207F-4FB6-9A5D-967C07B6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/>
    </w:pPr>
    <w:rPr>
      <w:rFonts w:asciiTheme="minorHAnsi" w:hAnsiTheme="minorHAns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KeinLeerraum">
    <w:name w:val="No Spacing"/>
    <w:uiPriority w:val="1"/>
    <w:qFormat/>
    <w:pPr>
      <w:spacing w:line="240" w:lineRule="auto"/>
    </w:pPr>
    <w:rPr>
      <w:rFonts w:asciiTheme="minorHAnsi" w:hAnsiTheme="minorHAnsi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Theme="minorHAnsi" w:hAnsiTheme="minorHAnsi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Theme="minorHAnsi" w:hAnsiTheme="minorHAnsi"/>
      <w:b/>
      <w:bCs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1274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Rinner, Thomas</dc:creator>
  <cp:keywords/>
  <dc:description/>
  <cp:lastModifiedBy>Rinner, Thomas</cp:lastModifiedBy>
  <cp:revision>10</cp:revision>
  <cp:lastPrinted>2023-07-10T15:41:00Z</cp:lastPrinted>
  <dcterms:created xsi:type="dcterms:W3CDTF">2023-07-10T14:53:00Z</dcterms:created>
  <dcterms:modified xsi:type="dcterms:W3CDTF">2023-07-12T12:04:00Z</dcterms:modified>
</cp:coreProperties>
</file>